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5D" w:rsidRPr="004B205D" w:rsidRDefault="004B205D" w:rsidP="004B205D">
      <w:pPr>
        <w:spacing w:after="160" w:line="259" w:lineRule="auto"/>
        <w:rPr>
          <w:rFonts w:eastAsia="Calibri" w:cs="Arial"/>
          <w:sz w:val="20"/>
          <w:szCs w:val="20"/>
        </w:rPr>
      </w:pPr>
      <w:r w:rsidRPr="004B205D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F744B9" wp14:editId="281433CB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REPUBLIKA HRVATSKA</w:t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VARAŽDINSKA ŽUPANIJA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 xml:space="preserve"> </w:t>
      </w:r>
      <w:r w:rsidRPr="004B205D">
        <w:rPr>
          <w:rFonts w:eastAsia="Calibri" w:cs="Arial"/>
          <w:sz w:val="20"/>
          <w:szCs w:val="20"/>
        </w:rPr>
        <w:t>OPĆINA PETRIJANEC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JEDINSTVENI UPRAVNI ODJEL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Vladimira Nazora 157, 42206 Petrijanec</w:t>
      </w:r>
    </w:p>
    <w:p w:rsidR="004B205D" w:rsidRPr="004B205D" w:rsidRDefault="001245D6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KLASA: </w:t>
      </w:r>
      <w:r w:rsidR="00177900">
        <w:rPr>
          <w:rFonts w:eastAsia="Calibri" w:cs="Arial"/>
          <w:bCs/>
          <w:sz w:val="20"/>
          <w:szCs w:val="20"/>
        </w:rPr>
        <w:t>008-02/22-01/2</w:t>
      </w:r>
      <w:r>
        <w:rPr>
          <w:rFonts w:eastAsia="Calibri" w:cs="Arial"/>
          <w:bCs/>
          <w:sz w:val="20"/>
          <w:szCs w:val="20"/>
        </w:rPr>
        <w:t xml:space="preserve">    </w:t>
      </w:r>
    </w:p>
    <w:p w:rsidR="004B205D" w:rsidRPr="004B205D" w:rsidRDefault="00177900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URBROJ: 2186-6-03/1-22-1</w:t>
      </w:r>
    </w:p>
    <w:p w:rsidR="004B205D" w:rsidRPr="004B205D" w:rsidRDefault="00336ED7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Petrijanec, </w:t>
      </w:r>
      <w:r w:rsidR="00690CF1">
        <w:rPr>
          <w:rFonts w:eastAsia="Calibri" w:cs="Arial"/>
          <w:bCs/>
          <w:sz w:val="20"/>
          <w:szCs w:val="20"/>
        </w:rPr>
        <w:t>22</w:t>
      </w:r>
      <w:r w:rsidR="0030076E">
        <w:rPr>
          <w:rFonts w:eastAsia="Calibri" w:cs="Arial"/>
          <w:bCs/>
          <w:sz w:val="20"/>
          <w:szCs w:val="20"/>
        </w:rPr>
        <w:t xml:space="preserve">. </w:t>
      </w:r>
      <w:r w:rsidR="005926C7">
        <w:rPr>
          <w:rFonts w:eastAsia="Calibri" w:cs="Arial"/>
          <w:bCs/>
          <w:sz w:val="20"/>
          <w:szCs w:val="20"/>
        </w:rPr>
        <w:t>studenoga 2022</w:t>
      </w:r>
      <w:r w:rsidR="00B30EF7">
        <w:rPr>
          <w:rFonts w:eastAsia="Calibri" w:cs="Arial"/>
          <w:bCs/>
          <w:sz w:val="20"/>
          <w:szCs w:val="20"/>
        </w:rPr>
        <w:t>.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tel. 042/714-220; 714-769, fax 042/714-391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e-mail: </w:t>
      </w:r>
      <w:hyperlink r:id="rId8" w:history="1">
        <w:r w:rsidRPr="004B205D">
          <w:rPr>
            <w:rFonts w:eastAsia="Calibri" w:cs="Arial"/>
            <w:bCs/>
            <w:sz w:val="20"/>
            <w:szCs w:val="20"/>
            <w:u w:val="single"/>
          </w:rPr>
          <w:t>opcina@petrijanec.hr</w:t>
        </w:r>
      </w:hyperlink>
      <w:r w:rsidRPr="004B205D">
        <w:rPr>
          <w:rFonts w:eastAsia="Calibri" w:cs="Arial"/>
          <w:bCs/>
          <w:sz w:val="20"/>
          <w:szCs w:val="20"/>
        </w:rPr>
        <w:tab/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bCs/>
          <w:sz w:val="20"/>
          <w:szCs w:val="20"/>
        </w:rPr>
      </w:pP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 xml:space="preserve">JAVNI POZIV ZA SAVJETOVANJE SA ZAINTERESIRANOM JAVNOŠĆU U POSTUPKU DONOŠENJA </w:t>
      </w: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>PRO</w:t>
      </w:r>
      <w:r w:rsidR="00581A87">
        <w:rPr>
          <w:rFonts w:eastAsia="Calibri" w:cs="Arial"/>
          <w:b/>
          <w:sz w:val="20"/>
          <w:szCs w:val="20"/>
        </w:rPr>
        <w:t>RAČUNA OPĆINE PETRIJANEC ZA 2023</w:t>
      </w:r>
      <w:r w:rsidRPr="004B205D">
        <w:rPr>
          <w:rFonts w:eastAsia="Calibri" w:cs="Arial"/>
          <w:b/>
          <w:sz w:val="20"/>
          <w:szCs w:val="20"/>
        </w:rPr>
        <w:t>. GODINU I PROJEKCIJE PRO</w:t>
      </w:r>
      <w:r w:rsidR="00581A87">
        <w:rPr>
          <w:rFonts w:eastAsia="Calibri" w:cs="Arial"/>
          <w:b/>
          <w:sz w:val="20"/>
          <w:szCs w:val="20"/>
        </w:rPr>
        <w:t>RAČUNA OPĆINE PETRIJANEC ZA 2024. I 2025</w:t>
      </w:r>
      <w:r w:rsidRPr="004B205D">
        <w:rPr>
          <w:rFonts w:eastAsia="Calibri" w:cs="Arial"/>
          <w:b/>
          <w:sz w:val="20"/>
          <w:szCs w:val="20"/>
        </w:rPr>
        <w:t>. GODINU</w:t>
      </w: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4B205D" w:rsidRPr="004B205D" w:rsidTr="009709FF">
        <w:trPr>
          <w:trHeight w:val="699"/>
        </w:trPr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PRIJEDLOG PRO</w:t>
            </w:r>
            <w:r w:rsidR="00581A87">
              <w:rPr>
                <w:rFonts w:eastAsia="Calibri" w:cs="Arial"/>
                <w:b/>
                <w:sz w:val="20"/>
                <w:szCs w:val="20"/>
              </w:rPr>
              <w:t>RAČUNA OPĆINE PETRIJANEC ZA 2023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 I PROJEKCIJE PRO</w:t>
            </w:r>
            <w:r w:rsidR="00581A87">
              <w:rPr>
                <w:rFonts w:eastAsia="Calibri" w:cs="Arial"/>
                <w:b/>
                <w:sz w:val="20"/>
                <w:szCs w:val="20"/>
              </w:rPr>
              <w:t>RAČUNA OPĆINE PETRIJANEC ZA 2024. I 2025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Razlog donošenja Pro</w:t>
            </w:r>
            <w:r w:rsidR="00581A87">
              <w:rPr>
                <w:rFonts w:eastAsia="Calibri" w:cs="Arial"/>
                <w:sz w:val="20"/>
                <w:szCs w:val="20"/>
              </w:rPr>
              <w:t>računa Općine Petrijanec za 2023</w:t>
            </w:r>
            <w:r w:rsidRPr="004B205D">
              <w:rPr>
                <w:rFonts w:eastAsia="Calibri" w:cs="Arial"/>
                <w:sz w:val="20"/>
                <w:szCs w:val="20"/>
              </w:rPr>
              <w:t>. godinu i Projekcije pro</w:t>
            </w:r>
            <w:r w:rsidR="00581A87">
              <w:rPr>
                <w:rFonts w:eastAsia="Calibri" w:cs="Arial"/>
                <w:sz w:val="20"/>
                <w:szCs w:val="20"/>
              </w:rPr>
              <w:t>računa Općine Petrijanec za 2024. i 2025</w:t>
            </w:r>
            <w:r w:rsidRPr="004B205D">
              <w:rPr>
                <w:rFonts w:eastAsia="Calibri" w:cs="Arial"/>
                <w:sz w:val="20"/>
                <w:szCs w:val="20"/>
              </w:rPr>
              <w:t>. godin</w:t>
            </w:r>
            <w:r w:rsidR="00DE5B72">
              <w:rPr>
                <w:rFonts w:eastAsia="Calibri" w:cs="Arial"/>
                <w:sz w:val="20"/>
                <w:szCs w:val="20"/>
              </w:rPr>
              <w:t>u sadržan je u odredbi članka 42</w:t>
            </w:r>
            <w:r w:rsidR="004876FB">
              <w:rPr>
                <w:rFonts w:eastAsia="Calibri" w:cs="Arial"/>
                <w:sz w:val="20"/>
                <w:szCs w:val="20"/>
              </w:rPr>
              <w:t xml:space="preserve">. stavku 1. </w:t>
            </w:r>
            <w:r w:rsidRPr="004B205D">
              <w:rPr>
                <w:rFonts w:eastAsia="Calibri" w:cs="Arial"/>
                <w:sz w:val="20"/>
                <w:szCs w:val="20"/>
              </w:rPr>
              <w:t>Zakona o proračunu (»Narodne no</w:t>
            </w:r>
            <w:r w:rsidR="00581A87">
              <w:rPr>
                <w:rFonts w:eastAsia="Calibri" w:cs="Arial"/>
                <w:sz w:val="20"/>
                <w:szCs w:val="20"/>
              </w:rPr>
              <w:t>vine«</w:t>
            </w:r>
            <w:r w:rsidR="004876FB">
              <w:rPr>
                <w:rFonts w:eastAsia="Calibri" w:cs="Arial"/>
                <w:sz w:val="20"/>
                <w:szCs w:val="20"/>
              </w:rPr>
              <w:t>,</w:t>
            </w:r>
            <w:r w:rsidR="00581A87">
              <w:rPr>
                <w:rFonts w:eastAsia="Calibri" w:cs="Arial"/>
                <w:sz w:val="20"/>
                <w:szCs w:val="20"/>
              </w:rPr>
              <w:t xml:space="preserve"> broj 144/21</w:t>
            </w:r>
            <w:r w:rsidRPr="004B205D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 xml:space="preserve">Upoznavanje javnosti s Prijedlogom 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Pro</w:t>
            </w:r>
            <w:r w:rsidR="00C951E6">
              <w:rPr>
                <w:rFonts w:eastAsia="Calibri" w:cs="Arial"/>
                <w:b/>
                <w:sz w:val="20"/>
                <w:szCs w:val="20"/>
              </w:rPr>
              <w:t>računa Općine Petrijanec za 2023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 i Projekcije pro</w:t>
            </w:r>
            <w:r w:rsidR="00C951E6">
              <w:rPr>
                <w:rFonts w:eastAsia="Calibri" w:cs="Arial"/>
                <w:b/>
                <w:sz w:val="20"/>
                <w:szCs w:val="20"/>
              </w:rPr>
              <w:t>računa Općine Petrijanec za 2024. i 2025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</w:t>
            </w:r>
            <w:r w:rsidRPr="004B205D">
              <w:rPr>
                <w:rFonts w:eastAsia="Calibri" w:cs="Arial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4B205D" w:rsidRPr="004B205D" w:rsidRDefault="0030076E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  </w:t>
            </w:r>
            <w:r w:rsidR="00C951E6">
              <w:rPr>
                <w:rFonts w:eastAsia="Calibri" w:cs="Arial"/>
                <w:b/>
                <w:sz w:val="20"/>
                <w:szCs w:val="20"/>
              </w:rPr>
              <w:t xml:space="preserve">     Zaključno do  </w:t>
            </w:r>
            <w:r w:rsidR="00690CF1">
              <w:rPr>
                <w:rFonts w:eastAsia="Calibri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5D56A8">
              <w:rPr>
                <w:rFonts w:eastAsia="Calibri" w:cs="Arial"/>
                <w:b/>
                <w:sz w:val="20"/>
                <w:szCs w:val="20"/>
              </w:rPr>
              <w:t>. prosinca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 w:rsidR="00C951E6">
              <w:rPr>
                <w:rFonts w:eastAsia="Calibri" w:cs="Arial"/>
                <w:b/>
                <w:sz w:val="20"/>
                <w:szCs w:val="20"/>
              </w:rPr>
              <w:t>2022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.</w:t>
            </w:r>
            <w:r w:rsidR="004B205D" w:rsidRPr="004B205D">
              <w:rPr>
                <w:rFonts w:eastAsia="Calibri" w:cs="Arial"/>
                <w:b/>
                <w:sz w:val="20"/>
                <w:szCs w:val="20"/>
              </w:rPr>
              <w:t xml:space="preserve"> godine do 12,00 sati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internetskim stranicama Općine Petrijanec www.petrijanec.hr 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Poštom: Općina Petrijanec, Vladimira Nazora 157, 42206 Petrijanec, s naznakom „Savjetovanje sa zainteresiranom javnošću – Prijedlog Pro</w:t>
            </w:r>
            <w:r w:rsidR="00C951E6">
              <w:rPr>
                <w:rFonts w:eastAsia="Calibri" w:cs="Arial"/>
                <w:sz w:val="20"/>
                <w:szCs w:val="20"/>
              </w:rPr>
              <w:t>računa Općine Petrijanec za 2023</w:t>
            </w:r>
            <w:r w:rsidRPr="004B205D">
              <w:rPr>
                <w:rFonts w:eastAsia="Calibri" w:cs="Arial"/>
                <w:sz w:val="20"/>
                <w:szCs w:val="20"/>
              </w:rPr>
              <w:t>. godinu i Projekcije pro</w:t>
            </w:r>
            <w:r w:rsidR="00C951E6">
              <w:rPr>
                <w:rFonts w:eastAsia="Calibri" w:cs="Arial"/>
                <w:sz w:val="20"/>
                <w:szCs w:val="20"/>
              </w:rPr>
              <w:t>računa Općine Petrijanec za 2024. i 2025</w:t>
            </w:r>
            <w:r w:rsidRPr="004B205D">
              <w:rPr>
                <w:rFonts w:eastAsia="Calibri" w:cs="Arial"/>
                <w:sz w:val="20"/>
                <w:szCs w:val="20"/>
              </w:rPr>
              <w:t xml:space="preserve">. godinu“   </w:t>
            </w:r>
          </w:p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e-mail: opcina@petrijanec.hr</w:t>
            </w:r>
          </w:p>
        </w:tc>
      </w:tr>
      <w:tr w:rsidR="004B205D" w:rsidRPr="004B205D" w:rsidTr="009709FF">
        <w:tc>
          <w:tcPr>
            <w:tcW w:w="13994" w:type="dxa"/>
            <w:gridSpan w:val="2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Sukladno odredbi članka 11. Zakona o pravu na pristup informacijama</w:t>
            </w:r>
            <w:r w:rsidR="00CF09ED">
              <w:rPr>
                <w:rFonts w:eastAsia="Calibri" w:cs="Arial"/>
                <w:b/>
                <w:sz w:val="20"/>
                <w:szCs w:val="20"/>
              </w:rPr>
              <w:t xml:space="preserve"> (»Narodne novine« broj 25/13, 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85/15</w:t>
            </w:r>
            <w:r w:rsidR="00CF09ED">
              <w:rPr>
                <w:rFonts w:eastAsia="Calibri" w:cs="Arial"/>
                <w:b/>
                <w:sz w:val="20"/>
                <w:szCs w:val="20"/>
              </w:rPr>
              <w:t xml:space="preserve"> i 69/22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) po isteku roka za dostavu mišljenja i prijed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loga izraditi će se i objaviti Izvješće o savjetovanju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 xml:space="preserve"> sa zainteresiranom javnošću, koje sadrži zaprimljene prijedloge i primjedbe te očitovanja s razlozima za neprihvaćanje pojedinih prijedloga i primjedbi. Izvješće će se objaviti na službenim internetskim stranicama Općine Petrijanec: www.petrijanec.hr</w:t>
            </w:r>
          </w:p>
        </w:tc>
      </w:tr>
    </w:tbl>
    <w:p w:rsidR="004B205D" w:rsidRPr="004B205D" w:rsidRDefault="004B205D" w:rsidP="004B205D"/>
    <w:p w:rsidR="00647380" w:rsidRDefault="00647380"/>
    <w:sectPr w:rsidR="00647380" w:rsidSect="0097258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C3" w:rsidRDefault="00AA35C3">
      <w:pPr>
        <w:spacing w:after="0" w:line="240" w:lineRule="auto"/>
      </w:pPr>
      <w:r>
        <w:separator/>
      </w:r>
    </w:p>
  </w:endnote>
  <w:endnote w:type="continuationSeparator" w:id="0">
    <w:p w:rsidR="00AA35C3" w:rsidRDefault="00AA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E" w:rsidRDefault="00AA35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C3" w:rsidRDefault="00AA35C3">
      <w:pPr>
        <w:spacing w:after="0" w:line="240" w:lineRule="auto"/>
      </w:pPr>
      <w:r>
        <w:separator/>
      </w:r>
    </w:p>
  </w:footnote>
  <w:footnote w:type="continuationSeparator" w:id="0">
    <w:p w:rsidR="00AA35C3" w:rsidRDefault="00AA3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5D"/>
    <w:rsid w:val="001245D6"/>
    <w:rsid w:val="00137919"/>
    <w:rsid w:val="00177900"/>
    <w:rsid w:val="001E369C"/>
    <w:rsid w:val="0020453C"/>
    <w:rsid w:val="00292E6E"/>
    <w:rsid w:val="002C264A"/>
    <w:rsid w:val="0030076E"/>
    <w:rsid w:val="003220FB"/>
    <w:rsid w:val="00336ED7"/>
    <w:rsid w:val="003E4A92"/>
    <w:rsid w:val="00426A1E"/>
    <w:rsid w:val="004876FB"/>
    <w:rsid w:val="004B205D"/>
    <w:rsid w:val="004C1BAE"/>
    <w:rsid w:val="004F715A"/>
    <w:rsid w:val="00544F98"/>
    <w:rsid w:val="00581A87"/>
    <w:rsid w:val="005926C7"/>
    <w:rsid w:val="00594609"/>
    <w:rsid w:val="005C060F"/>
    <w:rsid w:val="005D56A8"/>
    <w:rsid w:val="006156BD"/>
    <w:rsid w:val="00647380"/>
    <w:rsid w:val="00690CF1"/>
    <w:rsid w:val="006B567A"/>
    <w:rsid w:val="006F0FF0"/>
    <w:rsid w:val="00796F15"/>
    <w:rsid w:val="00814A50"/>
    <w:rsid w:val="008260D1"/>
    <w:rsid w:val="0084553A"/>
    <w:rsid w:val="008A199F"/>
    <w:rsid w:val="00911C33"/>
    <w:rsid w:val="009329F1"/>
    <w:rsid w:val="009577E1"/>
    <w:rsid w:val="009C3A0F"/>
    <w:rsid w:val="009F2A2D"/>
    <w:rsid w:val="00A62A11"/>
    <w:rsid w:val="00AA35C3"/>
    <w:rsid w:val="00B23186"/>
    <w:rsid w:val="00B264B0"/>
    <w:rsid w:val="00B30EF7"/>
    <w:rsid w:val="00C225D9"/>
    <w:rsid w:val="00C951E6"/>
    <w:rsid w:val="00CC2635"/>
    <w:rsid w:val="00CF09ED"/>
    <w:rsid w:val="00CF0A02"/>
    <w:rsid w:val="00D4326F"/>
    <w:rsid w:val="00D81D5E"/>
    <w:rsid w:val="00DB59F3"/>
    <w:rsid w:val="00DE5B72"/>
    <w:rsid w:val="00E042FD"/>
    <w:rsid w:val="00EC5925"/>
    <w:rsid w:val="00ED7D27"/>
    <w:rsid w:val="00F217B5"/>
    <w:rsid w:val="00F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B205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4B205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B205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4B205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24</cp:revision>
  <dcterms:created xsi:type="dcterms:W3CDTF">2020-10-20T05:28:00Z</dcterms:created>
  <dcterms:modified xsi:type="dcterms:W3CDTF">2022-12-14T10:04:00Z</dcterms:modified>
</cp:coreProperties>
</file>