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9C" w:rsidRPr="009B6B9C" w:rsidRDefault="001179C3" w:rsidP="009B6B9C">
      <w:pPr>
        <w:keepNext/>
        <w:jc w:val="both"/>
        <w:outlineLvl w:val="0"/>
        <w:rPr>
          <w:rFonts w:ascii="Arial" w:eastAsia="Calibri" w:hAnsi="Arial"/>
          <w:sz w:val="22"/>
          <w:szCs w:val="22"/>
          <w:lang w:eastAsia="en-US"/>
        </w:rPr>
      </w:pPr>
      <w:r w:rsidRPr="009B6B9C">
        <w:rPr>
          <w:rFonts w:ascii="Arial" w:hAnsi="Arial" w:cs="Arial"/>
          <w:b/>
          <w:bCs/>
          <w:i/>
          <w:sz w:val="22"/>
          <w:szCs w:val="22"/>
        </w:rPr>
        <w:t xml:space="preserve">  </w:t>
      </w:r>
    </w:p>
    <w:p w:rsidR="009B6B9C" w:rsidRPr="009B6B9C" w:rsidRDefault="002B6AC9" w:rsidP="009B6B9C">
      <w:pPr>
        <w:keepNext/>
        <w:jc w:val="both"/>
        <w:outlineLvl w:val="0"/>
        <w:rPr>
          <w:szCs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610534386" r:id="rId7"/>
        </w:pict>
      </w:r>
      <w:r w:rsidR="009B6B9C" w:rsidRPr="009B6B9C">
        <w:rPr>
          <w:rFonts w:ascii="Arial" w:hAnsi="Arial" w:cs="Arial"/>
          <w:sz w:val="22"/>
          <w:szCs w:val="22"/>
        </w:rPr>
        <w:t>REPUBLIKA HRVATSKA</w:t>
      </w:r>
      <w:r w:rsidR="009B6B9C" w:rsidRPr="009B6B9C">
        <w:rPr>
          <w:rFonts w:ascii="Arial" w:hAnsi="Arial" w:cs="Arial"/>
          <w:sz w:val="22"/>
          <w:szCs w:val="22"/>
        </w:rPr>
        <w:tab/>
        <w:t xml:space="preserve">                 </w:t>
      </w:r>
    </w:p>
    <w:p w:rsidR="009B6B9C" w:rsidRPr="009B6B9C" w:rsidRDefault="009B6B9C" w:rsidP="009B6B9C">
      <w:pPr>
        <w:keepNext/>
        <w:jc w:val="both"/>
        <w:outlineLvl w:val="2"/>
        <w:rPr>
          <w:rFonts w:ascii="Arial" w:hAnsi="Arial" w:cs="Arial"/>
          <w:sz w:val="22"/>
          <w:szCs w:val="22"/>
        </w:rPr>
      </w:pPr>
      <w:r w:rsidRPr="009B6B9C">
        <w:rPr>
          <w:rFonts w:ascii="Arial" w:hAnsi="Arial" w:cs="Arial"/>
          <w:sz w:val="22"/>
          <w:szCs w:val="22"/>
        </w:rPr>
        <w:t xml:space="preserve">VARAŽDINSKA ŽUPANIJA </w:t>
      </w:r>
    </w:p>
    <w:p w:rsidR="009B6B9C" w:rsidRPr="009B6B9C" w:rsidRDefault="009B6B9C" w:rsidP="009B6B9C">
      <w:pPr>
        <w:jc w:val="both"/>
        <w:rPr>
          <w:rFonts w:ascii="Arial" w:hAnsi="Arial" w:cs="Arial"/>
          <w:sz w:val="22"/>
          <w:szCs w:val="22"/>
        </w:rPr>
      </w:pPr>
      <w:r w:rsidRPr="009B6B9C">
        <w:rPr>
          <w:rFonts w:ascii="Arial" w:hAnsi="Arial" w:cs="Arial"/>
          <w:sz w:val="22"/>
          <w:szCs w:val="22"/>
        </w:rPr>
        <w:t>OPĆINA PETRIJANEC</w:t>
      </w:r>
    </w:p>
    <w:p w:rsidR="009B6B9C" w:rsidRPr="009B6B9C" w:rsidRDefault="009B6B9C" w:rsidP="009B6B9C">
      <w:pPr>
        <w:jc w:val="both"/>
        <w:rPr>
          <w:rFonts w:ascii="Arial" w:hAnsi="Arial" w:cs="Arial"/>
          <w:sz w:val="22"/>
          <w:szCs w:val="22"/>
        </w:rPr>
      </w:pPr>
      <w:r w:rsidRPr="009B6B9C">
        <w:rPr>
          <w:rFonts w:ascii="Arial" w:hAnsi="Arial" w:cs="Arial"/>
          <w:sz w:val="22"/>
          <w:szCs w:val="22"/>
        </w:rPr>
        <w:t>OPĆINSKO VIJEĆE</w:t>
      </w:r>
    </w:p>
    <w:p w:rsidR="009B6B9C" w:rsidRPr="009B6B9C" w:rsidRDefault="009B6B9C" w:rsidP="009B6B9C">
      <w:pPr>
        <w:jc w:val="both"/>
        <w:rPr>
          <w:rFonts w:ascii="Arial" w:hAnsi="Arial" w:cs="Arial"/>
          <w:sz w:val="22"/>
          <w:szCs w:val="22"/>
        </w:rPr>
      </w:pPr>
      <w:r w:rsidRPr="009B6B9C">
        <w:rPr>
          <w:rFonts w:ascii="Arial" w:hAnsi="Arial" w:cs="Arial"/>
          <w:sz w:val="22"/>
          <w:szCs w:val="22"/>
        </w:rPr>
        <w:t>KLASA:     363-02/19-01/1</w:t>
      </w:r>
    </w:p>
    <w:p w:rsidR="009B6B9C" w:rsidRPr="009B6B9C" w:rsidRDefault="009B6B9C" w:rsidP="009B6B9C">
      <w:pPr>
        <w:tabs>
          <w:tab w:val="left" w:pos="7368"/>
        </w:tabs>
        <w:jc w:val="both"/>
        <w:rPr>
          <w:rFonts w:ascii="Arial" w:hAnsi="Arial" w:cs="Arial"/>
          <w:sz w:val="22"/>
          <w:szCs w:val="22"/>
        </w:rPr>
      </w:pPr>
      <w:r w:rsidRPr="009B6B9C">
        <w:rPr>
          <w:rFonts w:ascii="Arial" w:hAnsi="Arial" w:cs="Arial"/>
          <w:sz w:val="22"/>
          <w:szCs w:val="22"/>
        </w:rPr>
        <w:t>URBROJ:  2186-06-01/19-67</w:t>
      </w:r>
      <w:r w:rsidRPr="009B6B9C">
        <w:rPr>
          <w:rFonts w:ascii="Arial" w:hAnsi="Arial" w:cs="Arial"/>
          <w:sz w:val="22"/>
          <w:szCs w:val="22"/>
        </w:rPr>
        <w:tab/>
        <w:t xml:space="preserve">      </w:t>
      </w:r>
    </w:p>
    <w:p w:rsidR="009B6B9C" w:rsidRPr="00B01C97" w:rsidRDefault="000E044F" w:rsidP="009B6B9C">
      <w:pPr>
        <w:tabs>
          <w:tab w:val="left" w:pos="7620"/>
          <w:tab w:val="left" w:pos="7860"/>
        </w:tabs>
        <w:spacing w:after="200" w:line="276" w:lineRule="auto"/>
        <w:jc w:val="both"/>
        <w:rPr>
          <w:rFonts w:ascii="Arial" w:hAnsi="Arial" w:cs="Arial"/>
          <w:sz w:val="22"/>
          <w:szCs w:val="22"/>
        </w:rPr>
      </w:pPr>
      <w:r>
        <w:rPr>
          <w:rFonts w:ascii="Arial" w:hAnsi="Arial" w:cs="Arial"/>
          <w:sz w:val="22"/>
          <w:szCs w:val="22"/>
        </w:rPr>
        <w:t>Petrijanec, 31. siječnja 2019.</w:t>
      </w:r>
      <w:r>
        <w:rPr>
          <w:rFonts w:ascii="Arial" w:hAnsi="Arial" w:cs="Arial"/>
          <w:sz w:val="22"/>
          <w:szCs w:val="22"/>
        </w:rPr>
        <w:tab/>
        <w:t xml:space="preserve">  </w:t>
      </w:r>
    </w:p>
    <w:p w:rsidR="009B6B9C" w:rsidRPr="00B01C97" w:rsidRDefault="009B6B9C" w:rsidP="00B01C97">
      <w:pPr>
        <w:spacing w:after="160" w:line="259" w:lineRule="auto"/>
        <w:jc w:val="both"/>
        <w:rPr>
          <w:rFonts w:ascii="Arial" w:eastAsia="Calibri" w:hAnsi="Arial"/>
          <w:sz w:val="22"/>
          <w:szCs w:val="22"/>
          <w:lang w:eastAsia="en-US"/>
        </w:rPr>
      </w:pPr>
      <w:r w:rsidRPr="009B6B9C">
        <w:rPr>
          <w:rFonts w:ascii="Arial" w:eastAsia="Calibri" w:hAnsi="Arial"/>
          <w:sz w:val="22"/>
          <w:szCs w:val="22"/>
          <w:lang w:eastAsia="en-US"/>
        </w:rPr>
        <w:tab/>
        <w:t>Na temelju članka 78. Zakona o komunalnom gospodarstvu (</w:t>
      </w:r>
      <w:r w:rsidRPr="009B6B9C">
        <w:rPr>
          <w:rFonts w:ascii="Arial" w:eastAsia="Calibri" w:hAnsi="Arial" w:cs="Arial"/>
          <w:sz w:val="22"/>
          <w:szCs w:val="22"/>
          <w:lang w:eastAsia="en-US"/>
        </w:rPr>
        <w:t>»</w:t>
      </w:r>
      <w:r w:rsidRPr="009B6B9C">
        <w:rPr>
          <w:rFonts w:ascii="Arial" w:eastAsia="Calibri" w:hAnsi="Arial"/>
          <w:sz w:val="22"/>
          <w:szCs w:val="22"/>
          <w:lang w:eastAsia="en-US"/>
        </w:rPr>
        <w:t>Narodne novine</w:t>
      </w:r>
      <w:r w:rsidRPr="009B6B9C">
        <w:rPr>
          <w:rFonts w:ascii="Arial" w:eastAsia="Calibri" w:hAnsi="Arial" w:cs="Arial"/>
          <w:sz w:val="22"/>
          <w:szCs w:val="22"/>
          <w:lang w:eastAsia="en-US"/>
        </w:rPr>
        <w:t>«,</w:t>
      </w:r>
      <w:r w:rsidRPr="009B6B9C">
        <w:rPr>
          <w:rFonts w:ascii="Arial" w:eastAsia="Calibri" w:hAnsi="Arial"/>
          <w:sz w:val="22"/>
          <w:szCs w:val="22"/>
          <w:lang w:eastAsia="en-US"/>
        </w:rPr>
        <w:t xml:space="preserve"> broj 68/18 i 110/18) i članka 28. Statuta Općine Petrijanec (</w:t>
      </w:r>
      <w:r w:rsidRPr="009B6B9C">
        <w:rPr>
          <w:rFonts w:ascii="Arial" w:eastAsia="Calibri" w:hAnsi="Arial" w:cs="Arial"/>
          <w:sz w:val="22"/>
          <w:szCs w:val="22"/>
          <w:lang w:eastAsia="en-US"/>
        </w:rPr>
        <w:t>»</w:t>
      </w:r>
      <w:r w:rsidRPr="009B6B9C">
        <w:rPr>
          <w:rFonts w:ascii="Arial" w:eastAsia="Calibri" w:hAnsi="Arial"/>
          <w:sz w:val="22"/>
          <w:szCs w:val="22"/>
          <w:lang w:eastAsia="en-US"/>
        </w:rPr>
        <w:t>Službeni vjesnik Varaždinske županije</w:t>
      </w:r>
      <w:r w:rsidRPr="009B6B9C">
        <w:rPr>
          <w:rFonts w:ascii="Arial" w:eastAsia="Calibri" w:hAnsi="Arial" w:cs="Arial"/>
          <w:sz w:val="22"/>
          <w:szCs w:val="22"/>
          <w:lang w:eastAsia="en-US"/>
        </w:rPr>
        <w:t>«,</w:t>
      </w:r>
      <w:r w:rsidRPr="009B6B9C">
        <w:rPr>
          <w:rFonts w:ascii="Arial" w:eastAsia="Calibri" w:hAnsi="Arial"/>
          <w:sz w:val="22"/>
          <w:szCs w:val="22"/>
          <w:lang w:eastAsia="en-US"/>
        </w:rPr>
        <w:t xml:space="preserve"> broj 16/13 i 52/17) Općinsk</w:t>
      </w:r>
      <w:r w:rsidR="000E044F">
        <w:rPr>
          <w:rFonts w:ascii="Arial" w:eastAsia="Calibri" w:hAnsi="Arial"/>
          <w:sz w:val="22"/>
          <w:szCs w:val="22"/>
          <w:lang w:eastAsia="en-US"/>
        </w:rPr>
        <w:t xml:space="preserve">o vijeće Općine Petrijanec na 15. sjednici održanoj dana  31. siječnja </w:t>
      </w:r>
      <w:r w:rsidRPr="009B6B9C">
        <w:rPr>
          <w:rFonts w:ascii="Arial" w:eastAsia="Calibri" w:hAnsi="Arial"/>
          <w:sz w:val="22"/>
          <w:szCs w:val="22"/>
          <w:lang w:eastAsia="en-US"/>
        </w:rPr>
        <w:t>2019. godine, donosi</w:t>
      </w:r>
    </w:p>
    <w:p w:rsidR="001179C3" w:rsidRDefault="001179C3" w:rsidP="00DB3695">
      <w:pPr>
        <w:pStyle w:val="Naslov2"/>
        <w:jc w:val="center"/>
        <w:rPr>
          <w:rFonts w:ascii="Arial" w:hAnsi="Arial" w:cs="Arial"/>
          <w:b/>
          <w:bCs/>
          <w:i w:val="0"/>
          <w:sz w:val="22"/>
          <w:szCs w:val="22"/>
        </w:rPr>
      </w:pPr>
      <w:r w:rsidRPr="009B6B9C">
        <w:rPr>
          <w:rFonts w:ascii="Arial" w:hAnsi="Arial" w:cs="Arial"/>
          <w:b/>
          <w:bCs/>
          <w:i w:val="0"/>
          <w:sz w:val="22"/>
          <w:szCs w:val="22"/>
        </w:rPr>
        <w:t>ODLUKU</w:t>
      </w:r>
    </w:p>
    <w:p w:rsidR="00DB3695" w:rsidRPr="00DB3695" w:rsidRDefault="00DB3695" w:rsidP="00DB3695"/>
    <w:p w:rsidR="001179C3" w:rsidRDefault="00DB3695" w:rsidP="00DB3695">
      <w:pPr>
        <w:jc w:val="center"/>
        <w:rPr>
          <w:rFonts w:ascii="Arial" w:hAnsi="Arial" w:cs="Arial"/>
          <w:b/>
          <w:sz w:val="22"/>
          <w:szCs w:val="22"/>
        </w:rPr>
      </w:pPr>
      <w:r>
        <w:rPr>
          <w:rFonts w:ascii="Arial" w:hAnsi="Arial" w:cs="Arial"/>
          <w:b/>
          <w:sz w:val="22"/>
          <w:szCs w:val="22"/>
        </w:rPr>
        <w:t>o komunalnom doprinosu</w:t>
      </w:r>
    </w:p>
    <w:p w:rsidR="00DB3695" w:rsidRPr="009B6B9C" w:rsidRDefault="00DB3695" w:rsidP="00B01C97">
      <w:pPr>
        <w:rPr>
          <w:rFonts w:ascii="Arial" w:hAnsi="Arial" w:cs="Arial"/>
          <w:b/>
          <w:sz w:val="22"/>
          <w:szCs w:val="22"/>
        </w:rPr>
      </w:pPr>
    </w:p>
    <w:p w:rsidR="001179C3" w:rsidRPr="009B6B9C" w:rsidRDefault="001179C3" w:rsidP="001179C3">
      <w:pPr>
        <w:pStyle w:val="Tijeloteksta21"/>
        <w:rPr>
          <w:rFonts w:ascii="Arial" w:hAnsi="Arial" w:cs="Arial"/>
          <w:sz w:val="22"/>
          <w:szCs w:val="22"/>
        </w:rPr>
      </w:pPr>
    </w:p>
    <w:p w:rsidR="001179C3" w:rsidRDefault="001179C3" w:rsidP="00B01C97">
      <w:pPr>
        <w:pStyle w:val="Tijeloteksta21"/>
        <w:numPr>
          <w:ilvl w:val="0"/>
          <w:numId w:val="1"/>
        </w:numPr>
        <w:jc w:val="both"/>
        <w:rPr>
          <w:rFonts w:ascii="Arial" w:hAnsi="Arial" w:cs="Arial"/>
          <w:sz w:val="22"/>
          <w:szCs w:val="22"/>
        </w:rPr>
      </w:pPr>
      <w:r w:rsidRPr="009B6B9C">
        <w:rPr>
          <w:rFonts w:ascii="Arial" w:hAnsi="Arial" w:cs="Arial"/>
          <w:sz w:val="22"/>
          <w:szCs w:val="22"/>
        </w:rPr>
        <w:t>OPĆE ODREDBE</w:t>
      </w:r>
    </w:p>
    <w:p w:rsidR="00B01C97" w:rsidRPr="00B01C97" w:rsidRDefault="00B01C97" w:rsidP="00B01C97">
      <w:pPr>
        <w:pStyle w:val="Tijeloteksta21"/>
        <w:ind w:left="1080"/>
        <w:jc w:val="both"/>
        <w:rPr>
          <w:rFonts w:ascii="Arial" w:hAnsi="Arial" w:cs="Arial"/>
          <w:sz w:val="22"/>
          <w:szCs w:val="22"/>
        </w:rPr>
      </w:pPr>
    </w:p>
    <w:p w:rsidR="001179C3" w:rsidRDefault="001179C3" w:rsidP="001179C3">
      <w:pPr>
        <w:pStyle w:val="Tijeloteksta21"/>
        <w:rPr>
          <w:rFonts w:ascii="Arial" w:hAnsi="Arial" w:cs="Arial"/>
          <w:sz w:val="22"/>
          <w:szCs w:val="22"/>
        </w:rPr>
      </w:pPr>
      <w:r w:rsidRPr="009B6B9C">
        <w:rPr>
          <w:rFonts w:ascii="Arial" w:hAnsi="Arial" w:cs="Arial"/>
          <w:sz w:val="22"/>
          <w:szCs w:val="22"/>
        </w:rPr>
        <w:t>Članak 1.</w:t>
      </w:r>
    </w:p>
    <w:p w:rsidR="00DB3695" w:rsidRPr="009B6B9C" w:rsidRDefault="00DB3695" w:rsidP="001179C3">
      <w:pPr>
        <w:pStyle w:val="Tijeloteksta21"/>
        <w:rPr>
          <w:rFonts w:ascii="Arial" w:hAnsi="Arial" w:cs="Arial"/>
          <w:sz w:val="22"/>
          <w:szCs w:val="22"/>
        </w:rPr>
      </w:pPr>
    </w:p>
    <w:p w:rsidR="001179C3" w:rsidRPr="009B6B9C" w:rsidRDefault="00362176" w:rsidP="00362176">
      <w:pPr>
        <w:pStyle w:val="Tijeloteksta21"/>
        <w:ind w:firstLine="708"/>
        <w:jc w:val="both"/>
        <w:rPr>
          <w:rFonts w:ascii="Arial" w:hAnsi="Arial" w:cs="Arial"/>
          <w:b w:val="0"/>
          <w:sz w:val="22"/>
          <w:szCs w:val="22"/>
        </w:rPr>
      </w:pPr>
      <w:r>
        <w:rPr>
          <w:rFonts w:ascii="Arial" w:hAnsi="Arial" w:cs="Arial"/>
          <w:b w:val="0"/>
          <w:sz w:val="22"/>
          <w:szCs w:val="22"/>
        </w:rPr>
        <w:t>Ovom Odlukom određuju se uvjeti i način utvrđivanja visine komunalnog doprinosa na području Općine Petrijanec:</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xml:space="preserve">- područja zona za plaćanje komunalnog doprinosa u Općini </w:t>
      </w:r>
      <w:r w:rsidR="00DB3695">
        <w:rPr>
          <w:rFonts w:ascii="Arial" w:hAnsi="Arial" w:cs="Arial"/>
          <w:b w:val="0"/>
          <w:sz w:val="22"/>
          <w:szCs w:val="22"/>
        </w:rPr>
        <w:t>Petrijanec,</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jedinična vrijednost komunalnog doprinosa utvrđena po m</w:t>
      </w:r>
      <w:r w:rsidRPr="009B6B9C">
        <w:rPr>
          <w:rFonts w:ascii="Arial" w:hAnsi="Arial" w:cs="Arial"/>
          <w:b w:val="0"/>
          <w:sz w:val="22"/>
          <w:szCs w:val="22"/>
          <w:vertAlign w:val="superscript"/>
        </w:rPr>
        <w:t>3</w:t>
      </w:r>
      <w:r w:rsidRPr="009B6B9C">
        <w:rPr>
          <w:rFonts w:ascii="Arial" w:hAnsi="Arial" w:cs="Arial"/>
          <w:b w:val="0"/>
          <w:sz w:val="22"/>
          <w:szCs w:val="22"/>
        </w:rPr>
        <w:t xml:space="preserve"> građevine za pojedine zone,</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način i rokovi plaćanja komunalnog doprinosa,</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xml:space="preserve">- </w:t>
      </w:r>
      <w:r w:rsidR="00362176">
        <w:rPr>
          <w:rFonts w:ascii="Arial" w:hAnsi="Arial" w:cs="Arial"/>
          <w:b w:val="0"/>
          <w:sz w:val="22"/>
          <w:szCs w:val="22"/>
        </w:rPr>
        <w:t xml:space="preserve">opći </w:t>
      </w:r>
      <w:r w:rsidRPr="009B6B9C">
        <w:rPr>
          <w:rFonts w:ascii="Arial" w:hAnsi="Arial" w:cs="Arial"/>
          <w:b w:val="0"/>
          <w:sz w:val="22"/>
          <w:szCs w:val="22"/>
        </w:rPr>
        <w:t xml:space="preserve">uvjeti i razlozi zbog kojih se u pojedinačnim slučajevima može odobriti djelomično ili </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xml:space="preserve">  potpuno oslobađanje od plaćanja komunalnog doprinosa.</w:t>
      </w:r>
    </w:p>
    <w:p w:rsidR="001179C3" w:rsidRPr="009B6B9C" w:rsidRDefault="001179C3" w:rsidP="001179C3">
      <w:pPr>
        <w:pStyle w:val="Tijeloteksta21"/>
        <w:jc w:val="both"/>
        <w:rPr>
          <w:rFonts w:ascii="Arial" w:hAnsi="Arial" w:cs="Arial"/>
          <w:b w:val="0"/>
          <w:sz w:val="22"/>
          <w:szCs w:val="22"/>
        </w:rPr>
      </w:pPr>
    </w:p>
    <w:p w:rsidR="001179C3" w:rsidRDefault="001179C3" w:rsidP="001179C3">
      <w:pPr>
        <w:pStyle w:val="Tijeloteksta21"/>
        <w:rPr>
          <w:rFonts w:ascii="Arial" w:hAnsi="Arial" w:cs="Arial"/>
          <w:sz w:val="22"/>
          <w:szCs w:val="22"/>
        </w:rPr>
      </w:pPr>
      <w:r w:rsidRPr="009B6B9C">
        <w:rPr>
          <w:rFonts w:ascii="Arial" w:hAnsi="Arial" w:cs="Arial"/>
          <w:sz w:val="22"/>
          <w:szCs w:val="22"/>
        </w:rPr>
        <w:t>Članak 2.</w:t>
      </w:r>
    </w:p>
    <w:p w:rsidR="00DB3695" w:rsidRPr="009B6B9C" w:rsidRDefault="00DB3695"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Komunalni doprinos je novčano javno davanje koje se plaća za korištenje komunalne infrastrukture na području Opći</w:t>
      </w:r>
      <w:r w:rsidR="00DB3695">
        <w:rPr>
          <w:rFonts w:ascii="Arial" w:hAnsi="Arial" w:cs="Arial"/>
          <w:b w:val="0"/>
          <w:sz w:val="22"/>
          <w:szCs w:val="22"/>
        </w:rPr>
        <w:t>ne Petrijanec</w:t>
      </w:r>
      <w:r w:rsidRPr="009B6B9C">
        <w:rPr>
          <w:rFonts w:ascii="Arial" w:hAnsi="Arial" w:cs="Arial"/>
          <w:b w:val="0"/>
          <w:sz w:val="22"/>
          <w:szCs w:val="22"/>
        </w:rPr>
        <w:t xml:space="preserve"> i položajne pogodnosti građevinskog zemljišta u naselju prilikom građenja ili ozakonjenja građevine, ako Zakon o komunalnom gospodarstvu ne propisuje drugačije.</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B01C97">
      <w:pPr>
        <w:pStyle w:val="Tijeloteksta21"/>
        <w:ind w:firstLine="708"/>
        <w:jc w:val="both"/>
        <w:rPr>
          <w:rFonts w:ascii="Arial" w:hAnsi="Arial" w:cs="Arial"/>
          <w:b w:val="0"/>
          <w:sz w:val="22"/>
          <w:szCs w:val="22"/>
        </w:rPr>
      </w:pPr>
      <w:r w:rsidRPr="009B6B9C">
        <w:rPr>
          <w:rFonts w:ascii="Arial" w:hAnsi="Arial" w:cs="Arial"/>
          <w:b w:val="0"/>
          <w:sz w:val="22"/>
          <w:szCs w:val="22"/>
        </w:rPr>
        <w:t>Komunalni doprinos je p</w:t>
      </w:r>
      <w:r w:rsidR="00DB3695">
        <w:rPr>
          <w:rFonts w:ascii="Arial" w:hAnsi="Arial" w:cs="Arial"/>
          <w:b w:val="0"/>
          <w:sz w:val="22"/>
          <w:szCs w:val="22"/>
        </w:rPr>
        <w:t>rihod proračuna Općine Petrijanec</w:t>
      </w:r>
      <w:r w:rsidRPr="009B6B9C">
        <w:rPr>
          <w:rFonts w:ascii="Arial" w:hAnsi="Arial" w:cs="Arial"/>
          <w:b w:val="0"/>
          <w:sz w:val="22"/>
          <w:szCs w:val="22"/>
        </w:rPr>
        <w:t xml:space="preserve"> koji se koristi samo za financiranje građenja i održavanja komunalne infrastrukture.</w:t>
      </w:r>
    </w:p>
    <w:p w:rsidR="001179C3" w:rsidRPr="009B6B9C" w:rsidRDefault="001179C3" w:rsidP="001179C3">
      <w:pPr>
        <w:pStyle w:val="Tijeloteksta21"/>
        <w:jc w:val="left"/>
        <w:rPr>
          <w:rFonts w:ascii="Arial" w:hAnsi="Arial" w:cs="Arial"/>
          <w:b w:val="0"/>
          <w:sz w:val="22"/>
          <w:szCs w:val="22"/>
        </w:rPr>
      </w:pPr>
    </w:p>
    <w:p w:rsidR="001179C3" w:rsidRDefault="001179C3" w:rsidP="001179C3">
      <w:pPr>
        <w:pStyle w:val="Tijeloteksta21"/>
        <w:rPr>
          <w:rFonts w:ascii="Arial" w:hAnsi="Arial" w:cs="Arial"/>
          <w:sz w:val="22"/>
          <w:szCs w:val="22"/>
        </w:rPr>
      </w:pPr>
      <w:r w:rsidRPr="009B6B9C">
        <w:rPr>
          <w:rFonts w:ascii="Arial" w:hAnsi="Arial" w:cs="Arial"/>
          <w:sz w:val="22"/>
          <w:szCs w:val="22"/>
        </w:rPr>
        <w:t>Članak 3.</w:t>
      </w:r>
    </w:p>
    <w:p w:rsidR="00DB3695" w:rsidRPr="009B6B9C" w:rsidRDefault="00DB3695"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Komunalni doprinos plaća vlasnik zemljišta na kojem se gradi građevina ili se nalazi ozakonjena građevina, odnosno investitor ako je na njega pisanim ugovorom prenesena obveza plaćanja komunalnog doprinosa.</w:t>
      </w:r>
    </w:p>
    <w:p w:rsidR="001179C3" w:rsidRPr="009B6B9C" w:rsidRDefault="001179C3" w:rsidP="001179C3">
      <w:pPr>
        <w:pStyle w:val="Tijeloteksta21"/>
        <w:jc w:val="left"/>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Komunalni doprinos za ozakonjenje zgrada plaća se prema odredbama posebnog zakona.</w:t>
      </w:r>
    </w:p>
    <w:p w:rsidR="001179C3" w:rsidRPr="009B6B9C" w:rsidRDefault="001179C3" w:rsidP="001179C3">
      <w:pPr>
        <w:pStyle w:val="Tijeloteksta21"/>
        <w:jc w:val="left"/>
        <w:rPr>
          <w:rFonts w:ascii="Arial" w:hAnsi="Arial" w:cs="Arial"/>
          <w:b w:val="0"/>
          <w:sz w:val="22"/>
          <w:szCs w:val="22"/>
        </w:rPr>
      </w:pPr>
    </w:p>
    <w:p w:rsidR="001179C3" w:rsidRPr="009B6B9C" w:rsidRDefault="00DB3695" w:rsidP="00B01C97">
      <w:pPr>
        <w:pStyle w:val="Tijeloteksta21"/>
        <w:ind w:firstLine="708"/>
        <w:jc w:val="left"/>
        <w:rPr>
          <w:rFonts w:ascii="Arial" w:hAnsi="Arial" w:cs="Arial"/>
          <w:b w:val="0"/>
          <w:sz w:val="22"/>
          <w:szCs w:val="22"/>
        </w:rPr>
      </w:pPr>
      <w:r>
        <w:rPr>
          <w:rFonts w:ascii="Arial" w:hAnsi="Arial" w:cs="Arial"/>
          <w:b w:val="0"/>
          <w:sz w:val="22"/>
          <w:szCs w:val="22"/>
        </w:rPr>
        <w:t>Općina Petrijanec</w:t>
      </w:r>
      <w:r w:rsidR="001179C3" w:rsidRPr="009B6B9C">
        <w:rPr>
          <w:rFonts w:ascii="Arial" w:hAnsi="Arial" w:cs="Arial"/>
          <w:b w:val="0"/>
          <w:sz w:val="22"/>
          <w:szCs w:val="22"/>
        </w:rPr>
        <w:t xml:space="preserve"> ne plaća komunalni doprinos na svom području.</w:t>
      </w:r>
    </w:p>
    <w:p w:rsidR="001179C3" w:rsidRDefault="001179C3" w:rsidP="001179C3">
      <w:pPr>
        <w:pStyle w:val="Tijeloteksta21"/>
        <w:rPr>
          <w:rFonts w:ascii="Arial" w:hAnsi="Arial" w:cs="Arial"/>
          <w:sz w:val="22"/>
          <w:szCs w:val="22"/>
        </w:rPr>
      </w:pPr>
      <w:r w:rsidRPr="009B6B9C">
        <w:rPr>
          <w:rFonts w:ascii="Arial" w:hAnsi="Arial" w:cs="Arial"/>
          <w:sz w:val="22"/>
          <w:szCs w:val="22"/>
        </w:rPr>
        <w:lastRenderedPageBreak/>
        <w:t>Članak 4.</w:t>
      </w:r>
    </w:p>
    <w:p w:rsidR="00DB3695" w:rsidRPr="009B6B9C" w:rsidRDefault="00DB3695"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Komunalni doprinos za zgrade obračunava se množenjem obujma zgrade koja se gradi ili je izgrađena izraženog u m</w:t>
      </w:r>
      <w:r w:rsidRPr="009B6B9C">
        <w:rPr>
          <w:rFonts w:ascii="Arial" w:hAnsi="Arial" w:cs="Arial"/>
          <w:b w:val="0"/>
          <w:sz w:val="22"/>
          <w:szCs w:val="22"/>
          <w:vertAlign w:val="superscript"/>
        </w:rPr>
        <w:t>3</w:t>
      </w:r>
      <w:r w:rsidRPr="009B6B9C">
        <w:rPr>
          <w:rFonts w:ascii="Arial" w:hAnsi="Arial" w:cs="Arial"/>
          <w:b w:val="0"/>
          <w:sz w:val="22"/>
          <w:szCs w:val="22"/>
        </w:rPr>
        <w:t xml:space="preserve"> s jediničnom vrijednošću komunalnog doprinosa u zoni u kojoj se zgrada gradi ili je izgrađena.</w:t>
      </w:r>
    </w:p>
    <w:p w:rsidR="001179C3" w:rsidRPr="009B6B9C" w:rsidRDefault="001179C3" w:rsidP="00DB3695">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Komunalni doprinos za otvorene bazene i druge otvorene građevine te spremnike za naftu i druge tekućine s pokrovom čija visina se mijenja obračunava se množenjem tlocrtne površine građevine koja se gradi ili je izgrađena izražene u m</w:t>
      </w:r>
      <w:r w:rsidRPr="009B6B9C">
        <w:rPr>
          <w:rFonts w:ascii="Arial" w:hAnsi="Arial" w:cs="Arial"/>
          <w:b w:val="0"/>
          <w:sz w:val="22"/>
          <w:szCs w:val="22"/>
          <w:vertAlign w:val="superscript"/>
        </w:rPr>
        <w:t>2</w:t>
      </w:r>
      <w:r w:rsidRPr="009B6B9C">
        <w:rPr>
          <w:rFonts w:ascii="Arial" w:hAnsi="Arial" w:cs="Arial"/>
          <w:b w:val="0"/>
          <w:sz w:val="22"/>
          <w:szCs w:val="22"/>
        </w:rPr>
        <w:t xml:space="preserve"> s jediničnom vrijednošću komunalnog doprinosa u zoni u kojoj se građevina gradi ili je izgrađena.</w:t>
      </w:r>
    </w:p>
    <w:p w:rsidR="001179C3" w:rsidRPr="009B6B9C" w:rsidRDefault="001179C3" w:rsidP="00DB3695">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Posebnim pravilnikom ministar pobliže propisuje način utvrđivanja obujma i površine građevina u svrhu obračuna komunalnog doprinosa.</w:t>
      </w:r>
    </w:p>
    <w:p w:rsidR="001179C3" w:rsidRPr="009B6B9C" w:rsidRDefault="001179C3" w:rsidP="001179C3">
      <w:pPr>
        <w:pStyle w:val="Tijeloteksta21"/>
        <w:jc w:val="left"/>
        <w:rPr>
          <w:rFonts w:ascii="Arial" w:hAnsi="Arial" w:cs="Arial"/>
          <w:b w:val="0"/>
          <w:sz w:val="22"/>
          <w:szCs w:val="22"/>
        </w:rPr>
      </w:pPr>
    </w:p>
    <w:p w:rsidR="001179C3" w:rsidRPr="009B6B9C" w:rsidRDefault="001179C3" w:rsidP="001179C3">
      <w:pPr>
        <w:pStyle w:val="Tijeloteksta21"/>
        <w:jc w:val="left"/>
        <w:rPr>
          <w:rFonts w:ascii="Arial" w:hAnsi="Arial" w:cs="Arial"/>
          <w:b w:val="0"/>
          <w:sz w:val="22"/>
          <w:szCs w:val="22"/>
        </w:rPr>
      </w:pPr>
    </w:p>
    <w:p w:rsidR="001179C3" w:rsidRDefault="001179C3" w:rsidP="001179C3">
      <w:pPr>
        <w:pStyle w:val="Tijeloteksta21"/>
        <w:rPr>
          <w:rFonts w:ascii="Arial" w:hAnsi="Arial" w:cs="Arial"/>
          <w:sz w:val="22"/>
          <w:szCs w:val="22"/>
        </w:rPr>
      </w:pPr>
      <w:r w:rsidRPr="009B6B9C">
        <w:rPr>
          <w:rFonts w:ascii="Arial" w:hAnsi="Arial" w:cs="Arial"/>
          <w:sz w:val="22"/>
          <w:szCs w:val="22"/>
        </w:rPr>
        <w:t>Članak 5.</w:t>
      </w:r>
    </w:p>
    <w:p w:rsidR="00DB3695" w:rsidRPr="009B6B9C" w:rsidRDefault="00DB3695"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Ako se postojeća zgrada uklanja zbog građenja nove zgrade ili kada se postojeća zgrada dograđuje ili nadograđuje, komunalni se doprinos obračunava na razliku u obujmu zgrade u odnosu na prijašnji obujam zgrade.</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Ako je obujam zgrade koja se gradi manji ili jednak obujmu postojeće zgrade koja se uklanja ne plaća se komunalni doprinos, a o čemu Jedinstveni upravni odjel donosi rješenje kojim se utvrđuje da ne postoji obveza plaćanja komunalnog doprinosa.</w:t>
      </w:r>
    </w:p>
    <w:p w:rsidR="001179C3" w:rsidRPr="009B6B9C" w:rsidRDefault="001179C3" w:rsidP="001179C3">
      <w:pPr>
        <w:pStyle w:val="Tijeloteksta21"/>
        <w:jc w:val="both"/>
        <w:rPr>
          <w:rFonts w:ascii="Arial" w:hAnsi="Arial" w:cs="Arial"/>
          <w:b w:val="0"/>
          <w:sz w:val="22"/>
          <w:szCs w:val="22"/>
        </w:rPr>
      </w:pPr>
    </w:p>
    <w:p w:rsidR="0037785B" w:rsidRDefault="001179C3" w:rsidP="008B7D00">
      <w:pPr>
        <w:pStyle w:val="Tijeloteksta21"/>
        <w:ind w:firstLine="360"/>
        <w:jc w:val="both"/>
        <w:rPr>
          <w:rFonts w:ascii="Arial" w:hAnsi="Arial" w:cs="Arial"/>
          <w:b w:val="0"/>
          <w:sz w:val="22"/>
          <w:szCs w:val="22"/>
        </w:rPr>
      </w:pPr>
      <w:r w:rsidRPr="009B6B9C">
        <w:rPr>
          <w:rFonts w:ascii="Arial" w:hAnsi="Arial" w:cs="Arial"/>
          <w:b w:val="0"/>
          <w:sz w:val="22"/>
          <w:szCs w:val="22"/>
        </w:rPr>
        <w:t>Odredbe ovog članka na odgovarajući se način primjenjuju i na obračun komunalnog doprinosa za građevine koje nisu zgrade te na obračun komunalnog doprinosa za ozakonjenje građevine.</w:t>
      </w:r>
    </w:p>
    <w:p w:rsidR="0037785B" w:rsidRDefault="0037785B" w:rsidP="001179C3">
      <w:pPr>
        <w:pStyle w:val="Tijeloteksta21"/>
        <w:jc w:val="left"/>
        <w:rPr>
          <w:rFonts w:ascii="Arial" w:hAnsi="Arial" w:cs="Arial"/>
          <w:b w:val="0"/>
          <w:sz w:val="22"/>
          <w:szCs w:val="22"/>
        </w:rPr>
      </w:pPr>
    </w:p>
    <w:p w:rsidR="0037785B" w:rsidRPr="009B6B9C" w:rsidRDefault="0037785B" w:rsidP="001179C3">
      <w:pPr>
        <w:pStyle w:val="Tijeloteksta21"/>
        <w:jc w:val="left"/>
        <w:rPr>
          <w:rFonts w:ascii="Arial" w:hAnsi="Arial" w:cs="Arial"/>
          <w:b w:val="0"/>
          <w:sz w:val="22"/>
          <w:szCs w:val="22"/>
        </w:rPr>
      </w:pPr>
    </w:p>
    <w:p w:rsidR="001179C3" w:rsidRPr="009B6B9C" w:rsidRDefault="001179C3" w:rsidP="001179C3">
      <w:pPr>
        <w:pStyle w:val="Tijeloteksta21"/>
        <w:jc w:val="left"/>
        <w:rPr>
          <w:rFonts w:ascii="Arial" w:hAnsi="Arial" w:cs="Arial"/>
          <w:b w:val="0"/>
          <w:sz w:val="22"/>
          <w:szCs w:val="22"/>
        </w:rPr>
      </w:pPr>
    </w:p>
    <w:p w:rsidR="001179C3" w:rsidRPr="009B6B9C" w:rsidRDefault="001179C3" w:rsidP="001179C3">
      <w:pPr>
        <w:pStyle w:val="Tijeloteksta21"/>
        <w:numPr>
          <w:ilvl w:val="0"/>
          <w:numId w:val="1"/>
        </w:numPr>
        <w:jc w:val="left"/>
        <w:rPr>
          <w:rFonts w:ascii="Arial" w:hAnsi="Arial" w:cs="Arial"/>
          <w:sz w:val="22"/>
          <w:szCs w:val="22"/>
        </w:rPr>
      </w:pPr>
      <w:r w:rsidRPr="009B6B9C">
        <w:rPr>
          <w:rFonts w:ascii="Arial" w:hAnsi="Arial" w:cs="Arial"/>
          <w:sz w:val="22"/>
          <w:szCs w:val="22"/>
        </w:rPr>
        <w:t>ZONE ZA PLAĆANJE KOMUNALNOG DOPRINOSA</w:t>
      </w:r>
    </w:p>
    <w:p w:rsidR="001179C3" w:rsidRPr="009B6B9C" w:rsidRDefault="001179C3" w:rsidP="001179C3">
      <w:pPr>
        <w:pStyle w:val="Tijeloteksta21"/>
        <w:jc w:val="left"/>
        <w:rPr>
          <w:rFonts w:ascii="Arial" w:hAnsi="Arial" w:cs="Arial"/>
          <w:b w:val="0"/>
          <w:sz w:val="22"/>
          <w:szCs w:val="22"/>
        </w:rPr>
      </w:pPr>
    </w:p>
    <w:p w:rsidR="001179C3" w:rsidRDefault="001179C3" w:rsidP="001179C3">
      <w:pPr>
        <w:pStyle w:val="Tijeloteksta21"/>
        <w:rPr>
          <w:rFonts w:ascii="Arial" w:hAnsi="Arial" w:cs="Arial"/>
          <w:sz w:val="22"/>
          <w:szCs w:val="22"/>
        </w:rPr>
      </w:pPr>
      <w:r w:rsidRPr="009B6B9C">
        <w:rPr>
          <w:rFonts w:ascii="Arial" w:hAnsi="Arial" w:cs="Arial"/>
          <w:sz w:val="22"/>
          <w:szCs w:val="22"/>
        </w:rPr>
        <w:t>Članak 6.</w:t>
      </w:r>
    </w:p>
    <w:p w:rsidR="00A46A7C" w:rsidRPr="009B6B9C" w:rsidRDefault="00A46A7C" w:rsidP="001179C3">
      <w:pPr>
        <w:pStyle w:val="Tijeloteksta21"/>
        <w:rPr>
          <w:rFonts w:ascii="Arial" w:hAnsi="Arial" w:cs="Arial"/>
          <w:sz w:val="22"/>
          <w:szCs w:val="22"/>
        </w:rPr>
      </w:pPr>
    </w:p>
    <w:p w:rsidR="001179C3" w:rsidRDefault="00CC5C81" w:rsidP="00CC5C81">
      <w:pPr>
        <w:spacing w:after="160" w:line="259" w:lineRule="auto"/>
        <w:ind w:firstLine="708"/>
        <w:jc w:val="both"/>
        <w:rPr>
          <w:rFonts w:ascii="Arial" w:eastAsia="Calibri" w:hAnsi="Arial"/>
          <w:sz w:val="22"/>
          <w:szCs w:val="22"/>
          <w:lang w:eastAsia="en-US"/>
        </w:rPr>
      </w:pPr>
      <w:r w:rsidRPr="00CC5C81">
        <w:rPr>
          <w:rFonts w:ascii="Arial" w:eastAsia="Calibri" w:hAnsi="Arial"/>
          <w:sz w:val="22"/>
          <w:szCs w:val="22"/>
          <w:lang w:eastAsia="en-US"/>
        </w:rPr>
        <w:t>Zone se određuju s obzirom na uređenost i opremljenost zone komunalnom infrastrukturom i položaj područja zone (udaljenost od središta u naselju, mrežu javnog prijevoza, dostupnost građevina javne društvene namjene, te opskrbe i usluga, prostorne i prirodne uvjete).</w:t>
      </w:r>
    </w:p>
    <w:p w:rsidR="00CC5C81" w:rsidRDefault="00CC5C81" w:rsidP="00CC5C81">
      <w:pPr>
        <w:spacing w:after="160" w:line="259" w:lineRule="auto"/>
        <w:ind w:firstLine="708"/>
        <w:jc w:val="both"/>
        <w:rPr>
          <w:rFonts w:ascii="Arial" w:hAnsi="Arial" w:cs="Arial"/>
          <w:sz w:val="22"/>
          <w:szCs w:val="22"/>
          <w:lang w:eastAsia="en-US"/>
        </w:rPr>
      </w:pPr>
      <w:r w:rsidRPr="00CC5C81">
        <w:rPr>
          <w:rFonts w:ascii="Arial" w:hAnsi="Arial" w:cs="Arial"/>
          <w:sz w:val="22"/>
          <w:szCs w:val="22"/>
          <w:lang w:eastAsia="en-US"/>
        </w:rPr>
        <w:t>Za plaćanje komunalnog doprinosa</w:t>
      </w:r>
      <w:r>
        <w:rPr>
          <w:rFonts w:ascii="Arial" w:hAnsi="Arial" w:cs="Arial"/>
          <w:sz w:val="22"/>
          <w:szCs w:val="22"/>
          <w:lang w:eastAsia="en-US"/>
        </w:rPr>
        <w:t xml:space="preserve"> na području Općine Pe</w:t>
      </w:r>
      <w:r w:rsidR="008B7D00">
        <w:rPr>
          <w:rFonts w:ascii="Arial" w:hAnsi="Arial" w:cs="Arial"/>
          <w:sz w:val="22"/>
          <w:szCs w:val="22"/>
          <w:lang w:eastAsia="en-US"/>
        </w:rPr>
        <w:t>trijanec utvrđuju se dvije zone:</w:t>
      </w:r>
    </w:p>
    <w:p w:rsidR="004F126B" w:rsidRPr="0037785B" w:rsidRDefault="004F126B" w:rsidP="004F126B">
      <w:pPr>
        <w:pStyle w:val="Odlomakpopisa"/>
        <w:numPr>
          <w:ilvl w:val="0"/>
          <w:numId w:val="2"/>
        </w:numPr>
        <w:spacing w:after="160" w:line="259" w:lineRule="auto"/>
        <w:jc w:val="both"/>
        <w:rPr>
          <w:rFonts w:ascii="Arial" w:eastAsia="Calibri" w:hAnsi="Arial"/>
          <w:sz w:val="22"/>
          <w:szCs w:val="22"/>
          <w:lang w:eastAsia="en-US"/>
        </w:rPr>
      </w:pPr>
      <w:r w:rsidRPr="0037785B">
        <w:rPr>
          <w:rFonts w:ascii="Arial" w:eastAsia="Calibri" w:hAnsi="Arial"/>
          <w:sz w:val="22"/>
          <w:szCs w:val="22"/>
          <w:lang w:eastAsia="en-US"/>
        </w:rPr>
        <w:t>ZONA</w:t>
      </w:r>
    </w:p>
    <w:p w:rsidR="004F126B" w:rsidRDefault="004F126B" w:rsidP="004F126B">
      <w:pPr>
        <w:pStyle w:val="Odlomakpopisa"/>
        <w:numPr>
          <w:ilvl w:val="0"/>
          <w:numId w:val="3"/>
        </w:numPr>
        <w:spacing w:after="160" w:line="259" w:lineRule="auto"/>
        <w:jc w:val="both"/>
        <w:rPr>
          <w:rFonts w:ascii="Arial" w:eastAsia="Calibri" w:hAnsi="Arial"/>
          <w:sz w:val="22"/>
          <w:szCs w:val="22"/>
          <w:lang w:eastAsia="en-US"/>
        </w:rPr>
      </w:pPr>
      <w:r>
        <w:rPr>
          <w:rFonts w:ascii="Arial" w:eastAsia="Calibri" w:hAnsi="Arial"/>
          <w:sz w:val="22"/>
          <w:szCs w:val="22"/>
          <w:lang w:eastAsia="en-US"/>
        </w:rPr>
        <w:t>zemljište koje je unutar granica građevinskog područja svih naselja Općine Petrijanec, a opremljeno je najmanje asfaltiranom pristupnom prometnicom i javnom rasvjetom.</w:t>
      </w:r>
    </w:p>
    <w:p w:rsidR="0037785B" w:rsidRDefault="0037785B" w:rsidP="0037785B">
      <w:pPr>
        <w:pStyle w:val="Odlomakpopisa"/>
        <w:spacing w:after="160" w:line="259" w:lineRule="auto"/>
        <w:ind w:left="1788"/>
        <w:jc w:val="both"/>
        <w:rPr>
          <w:rFonts w:ascii="Arial" w:eastAsia="Calibri" w:hAnsi="Arial"/>
          <w:sz w:val="22"/>
          <w:szCs w:val="22"/>
          <w:lang w:eastAsia="en-US"/>
        </w:rPr>
      </w:pPr>
    </w:p>
    <w:p w:rsidR="004F126B" w:rsidRPr="0037785B" w:rsidRDefault="004F126B" w:rsidP="004F126B">
      <w:pPr>
        <w:pStyle w:val="Odlomakpopisa"/>
        <w:numPr>
          <w:ilvl w:val="0"/>
          <w:numId w:val="2"/>
        </w:numPr>
        <w:spacing w:after="160" w:line="259" w:lineRule="auto"/>
        <w:jc w:val="both"/>
        <w:rPr>
          <w:rFonts w:ascii="Arial" w:eastAsia="Calibri" w:hAnsi="Arial"/>
          <w:sz w:val="22"/>
          <w:szCs w:val="22"/>
          <w:lang w:eastAsia="en-US"/>
        </w:rPr>
      </w:pPr>
      <w:r w:rsidRPr="0037785B">
        <w:rPr>
          <w:rFonts w:ascii="Arial" w:eastAsia="Calibri" w:hAnsi="Arial"/>
          <w:sz w:val="22"/>
          <w:szCs w:val="22"/>
          <w:lang w:eastAsia="en-US"/>
        </w:rPr>
        <w:t>ZONA</w:t>
      </w:r>
    </w:p>
    <w:p w:rsidR="001179C3" w:rsidRDefault="004F126B" w:rsidP="0037785B">
      <w:pPr>
        <w:pStyle w:val="Odlomakpopisa"/>
        <w:numPr>
          <w:ilvl w:val="0"/>
          <w:numId w:val="3"/>
        </w:numPr>
        <w:spacing w:after="160" w:line="259" w:lineRule="auto"/>
        <w:jc w:val="both"/>
        <w:rPr>
          <w:rFonts w:ascii="Arial" w:eastAsia="Calibri" w:hAnsi="Arial"/>
          <w:sz w:val="22"/>
          <w:szCs w:val="22"/>
          <w:lang w:eastAsia="en-US"/>
        </w:rPr>
      </w:pPr>
      <w:r>
        <w:rPr>
          <w:rFonts w:ascii="Arial" w:eastAsia="Calibri" w:hAnsi="Arial"/>
          <w:sz w:val="22"/>
          <w:szCs w:val="22"/>
          <w:lang w:eastAsia="en-US"/>
        </w:rPr>
        <w:t>sva ostala zemljišta unutar granica građevinskog područja naselja Općine Petrijanec, uključujući i izdvojena područja izvan građevinskog područja, rezervirana za objekte proizvodno-poljoprivredne namjene.</w:t>
      </w:r>
    </w:p>
    <w:p w:rsidR="00B01C97" w:rsidRPr="0037785B" w:rsidRDefault="00B01C97" w:rsidP="00B01C97">
      <w:pPr>
        <w:pStyle w:val="Odlomakpopisa"/>
        <w:spacing w:after="160" w:line="259" w:lineRule="auto"/>
        <w:ind w:left="1788"/>
        <w:jc w:val="both"/>
        <w:rPr>
          <w:rFonts w:ascii="Arial" w:eastAsia="Calibri" w:hAnsi="Arial"/>
          <w:sz w:val="22"/>
          <w:szCs w:val="22"/>
          <w:lang w:eastAsia="en-US"/>
        </w:rPr>
      </w:pPr>
    </w:p>
    <w:p w:rsidR="001179C3" w:rsidRPr="009B6B9C" w:rsidRDefault="001179C3" w:rsidP="001179C3">
      <w:pPr>
        <w:pStyle w:val="Tijeloteksta21"/>
        <w:jc w:val="left"/>
        <w:rPr>
          <w:rFonts w:ascii="Arial" w:hAnsi="Arial" w:cs="Arial"/>
          <w:b w:val="0"/>
          <w:sz w:val="22"/>
          <w:szCs w:val="22"/>
        </w:rPr>
      </w:pPr>
    </w:p>
    <w:p w:rsidR="001179C3" w:rsidRPr="009B6B9C" w:rsidRDefault="001179C3" w:rsidP="001179C3">
      <w:pPr>
        <w:pStyle w:val="Tijeloteksta21"/>
        <w:numPr>
          <w:ilvl w:val="0"/>
          <w:numId w:val="1"/>
        </w:numPr>
        <w:jc w:val="left"/>
        <w:rPr>
          <w:rFonts w:ascii="Arial" w:hAnsi="Arial" w:cs="Arial"/>
          <w:sz w:val="22"/>
          <w:szCs w:val="22"/>
        </w:rPr>
      </w:pPr>
      <w:r w:rsidRPr="009B6B9C">
        <w:rPr>
          <w:rFonts w:ascii="Arial" w:hAnsi="Arial" w:cs="Arial"/>
          <w:b w:val="0"/>
          <w:sz w:val="22"/>
          <w:szCs w:val="22"/>
        </w:rPr>
        <w:lastRenderedPageBreak/>
        <w:t xml:space="preserve">  </w:t>
      </w:r>
      <w:r w:rsidRPr="009B6B9C">
        <w:rPr>
          <w:rFonts w:ascii="Arial" w:hAnsi="Arial" w:cs="Arial"/>
          <w:sz w:val="22"/>
          <w:szCs w:val="22"/>
        </w:rPr>
        <w:t>JEDINIČNA VRIJEDNOST KOMUNALNOG DOPRINOSA</w:t>
      </w:r>
    </w:p>
    <w:p w:rsidR="001179C3" w:rsidRPr="009B6B9C" w:rsidRDefault="001179C3" w:rsidP="001179C3">
      <w:pPr>
        <w:pStyle w:val="Tijeloteksta21"/>
        <w:jc w:val="left"/>
        <w:rPr>
          <w:rFonts w:ascii="Arial" w:hAnsi="Arial" w:cs="Arial"/>
          <w:b w:val="0"/>
          <w:sz w:val="22"/>
          <w:szCs w:val="22"/>
        </w:rPr>
      </w:pPr>
    </w:p>
    <w:p w:rsidR="001179C3" w:rsidRDefault="001179C3" w:rsidP="001179C3">
      <w:pPr>
        <w:pStyle w:val="Tijeloteksta21"/>
        <w:rPr>
          <w:rFonts w:ascii="Arial" w:hAnsi="Arial" w:cs="Arial"/>
          <w:sz w:val="22"/>
          <w:szCs w:val="22"/>
        </w:rPr>
      </w:pPr>
      <w:r w:rsidRPr="009B6B9C">
        <w:rPr>
          <w:rFonts w:ascii="Arial" w:hAnsi="Arial" w:cs="Arial"/>
          <w:sz w:val="22"/>
          <w:szCs w:val="22"/>
        </w:rPr>
        <w:t>Članak 7.</w:t>
      </w:r>
    </w:p>
    <w:p w:rsidR="00DB3695" w:rsidRPr="009B6B9C" w:rsidRDefault="00DB3695" w:rsidP="001179C3">
      <w:pPr>
        <w:pStyle w:val="Tijeloteksta21"/>
        <w:rPr>
          <w:rFonts w:ascii="Arial" w:hAnsi="Arial" w:cs="Arial"/>
          <w:sz w:val="22"/>
          <w:szCs w:val="22"/>
        </w:rPr>
      </w:pPr>
    </w:p>
    <w:p w:rsidR="001179C3" w:rsidRPr="009B6B9C" w:rsidRDefault="001179C3" w:rsidP="00456BE1">
      <w:pPr>
        <w:pStyle w:val="Tijeloteksta21"/>
        <w:ind w:firstLine="709"/>
        <w:jc w:val="both"/>
        <w:rPr>
          <w:rFonts w:ascii="Arial" w:hAnsi="Arial" w:cs="Arial"/>
          <w:b w:val="0"/>
          <w:sz w:val="22"/>
          <w:szCs w:val="22"/>
        </w:rPr>
      </w:pPr>
      <w:r w:rsidRPr="009B6B9C">
        <w:rPr>
          <w:rFonts w:ascii="Arial" w:hAnsi="Arial" w:cs="Arial"/>
          <w:b w:val="0"/>
          <w:sz w:val="22"/>
          <w:szCs w:val="22"/>
        </w:rPr>
        <w:t>Jedinična vrijednost komunalno</w:t>
      </w:r>
      <w:r w:rsidR="00CC5C81">
        <w:rPr>
          <w:rFonts w:ascii="Arial" w:hAnsi="Arial" w:cs="Arial"/>
          <w:b w:val="0"/>
          <w:sz w:val="22"/>
          <w:szCs w:val="22"/>
        </w:rPr>
        <w:t>g doprinosa po pojedinim zonama</w:t>
      </w:r>
      <w:r w:rsidRPr="009B6B9C">
        <w:rPr>
          <w:rFonts w:ascii="Arial" w:hAnsi="Arial" w:cs="Arial"/>
          <w:b w:val="0"/>
          <w:sz w:val="22"/>
          <w:szCs w:val="22"/>
        </w:rPr>
        <w:t xml:space="preserve"> iznosi:</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1179C3">
      <w:pPr>
        <w:pStyle w:val="Tijeloteksta21"/>
        <w:jc w:val="both"/>
        <w:rPr>
          <w:rFonts w:ascii="Arial" w:hAnsi="Arial" w:cs="Arial"/>
          <w:b w:val="0"/>
          <w:sz w:val="22"/>
          <w:szCs w:val="22"/>
        </w:rPr>
      </w:pPr>
    </w:p>
    <w:tbl>
      <w:tblPr>
        <w:tblStyle w:val="Reetkatablice"/>
        <w:tblW w:w="0" w:type="auto"/>
        <w:jc w:val="center"/>
        <w:tblLook w:val="04A0" w:firstRow="1" w:lastRow="0" w:firstColumn="1" w:lastColumn="0" w:noHBand="0" w:noVBand="1"/>
      </w:tblPr>
      <w:tblGrid>
        <w:gridCol w:w="6374"/>
        <w:gridCol w:w="1418"/>
        <w:gridCol w:w="1268"/>
      </w:tblGrid>
      <w:tr w:rsidR="00CC5C81" w:rsidRPr="00CC5C81" w:rsidTr="00D40FD4">
        <w:trPr>
          <w:jc w:val="center"/>
        </w:trPr>
        <w:tc>
          <w:tcPr>
            <w:tcW w:w="6374" w:type="dxa"/>
            <w:shd w:val="clear" w:color="auto" w:fill="C4BC96" w:themeFill="background2" w:themeFillShade="BF"/>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VRSTA OBJEKTA</w:t>
            </w:r>
          </w:p>
        </w:tc>
        <w:tc>
          <w:tcPr>
            <w:tcW w:w="1418" w:type="dxa"/>
            <w:shd w:val="clear" w:color="auto" w:fill="C4BC96" w:themeFill="background2" w:themeFillShade="BF"/>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I. ZONA</w:t>
            </w:r>
          </w:p>
        </w:tc>
        <w:tc>
          <w:tcPr>
            <w:tcW w:w="1268" w:type="dxa"/>
            <w:shd w:val="clear" w:color="auto" w:fill="C4BC96" w:themeFill="background2" w:themeFillShade="BF"/>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II. ZONA</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Građevine isključivo stambene namjene, koje se stalno koriste</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7,00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Građevine poljoprivredne namjene</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Ostale pomoćne građevine</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 kn</w:t>
            </w:r>
          </w:p>
        </w:tc>
      </w:tr>
      <w:tr w:rsidR="00CC5C81" w:rsidRPr="00CC5C81" w:rsidTr="00D40FD4">
        <w:trPr>
          <w:jc w:val="center"/>
        </w:trPr>
        <w:tc>
          <w:tcPr>
            <w:tcW w:w="6374" w:type="dxa"/>
            <w:shd w:val="clear" w:color="auto" w:fill="C4BC96" w:themeFill="background2" w:themeFillShade="BF"/>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VRSTA OBJEKTA</w:t>
            </w:r>
          </w:p>
        </w:tc>
        <w:tc>
          <w:tcPr>
            <w:tcW w:w="1418" w:type="dxa"/>
            <w:shd w:val="clear" w:color="auto" w:fill="C4BC96" w:themeFill="background2" w:themeFillShade="BF"/>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I. ZONA</w:t>
            </w:r>
          </w:p>
        </w:tc>
        <w:tc>
          <w:tcPr>
            <w:tcW w:w="1268" w:type="dxa"/>
            <w:shd w:val="clear" w:color="auto" w:fill="C4BC96" w:themeFill="background2" w:themeFillShade="BF"/>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II. ZONA</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POSLOVNI PROSTOR</w:t>
            </w:r>
          </w:p>
        </w:tc>
        <w:tc>
          <w:tcPr>
            <w:tcW w:w="1418" w:type="dxa"/>
          </w:tcPr>
          <w:p w:rsidR="00CC5C81" w:rsidRPr="00CC5C81" w:rsidRDefault="00CC5C81" w:rsidP="00CC5C81">
            <w:pPr>
              <w:suppressAutoHyphens/>
              <w:rPr>
                <w:rFonts w:ascii="Arial" w:hAnsi="Arial" w:cs="Arial"/>
                <w:sz w:val="22"/>
                <w:szCs w:val="22"/>
                <w:lang w:eastAsia="en-US"/>
              </w:rPr>
            </w:pPr>
          </w:p>
        </w:tc>
        <w:tc>
          <w:tcPr>
            <w:tcW w:w="1268" w:type="dxa"/>
          </w:tcPr>
          <w:p w:rsidR="00CC5C81" w:rsidRPr="00CC5C81" w:rsidRDefault="00CC5C81" w:rsidP="00CC5C81">
            <w:pPr>
              <w:suppressAutoHyphens/>
              <w:rPr>
                <w:rFonts w:ascii="Arial" w:hAnsi="Arial" w:cs="Arial"/>
                <w:sz w:val="22"/>
                <w:szCs w:val="22"/>
                <w:lang w:eastAsia="en-US"/>
              </w:rPr>
            </w:pP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A1) Proizvodne hale – dio do 4 m visine</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A2) Proizvodne hale – dio iznad 4 m visine</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B) Trgovački, uslužni i kancelarijski prostor</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C) Ugostiteljski prostor</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Kombinacija (ABC)</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Skladišta</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Kuće za odmor i slično</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25,00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25,00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Građevine za stočarsko-peradarsku proizvodnju kada se grade kao novogradnje na novim lokacijama</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25,00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25,00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Građevine za stočarsko-peradarsku proizvodnju kada se grade na lokacijama na kojima su uklonjene postojeće građevine te namjene</w:t>
            </w:r>
          </w:p>
        </w:tc>
        <w:tc>
          <w:tcPr>
            <w:tcW w:w="1418" w:type="dxa"/>
          </w:tcPr>
          <w:p w:rsidR="00CC5C81" w:rsidRPr="00CC5C81" w:rsidRDefault="00CC5C81" w:rsidP="00CC5C81">
            <w:pPr>
              <w:suppressAutoHyphens/>
              <w:jc w:val="right"/>
              <w:rPr>
                <w:rFonts w:ascii="Arial" w:hAnsi="Arial" w:cs="Arial"/>
                <w:sz w:val="22"/>
                <w:szCs w:val="22"/>
                <w:lang w:eastAsia="en-US"/>
              </w:rPr>
            </w:pPr>
          </w:p>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7,00 kn</w:t>
            </w:r>
          </w:p>
        </w:tc>
        <w:tc>
          <w:tcPr>
            <w:tcW w:w="1268" w:type="dxa"/>
          </w:tcPr>
          <w:p w:rsidR="00CC5C81" w:rsidRPr="00CC5C81" w:rsidRDefault="00CC5C81" w:rsidP="00CC5C81">
            <w:pPr>
              <w:suppressAutoHyphens/>
              <w:jc w:val="right"/>
              <w:rPr>
                <w:rFonts w:ascii="Arial" w:hAnsi="Arial" w:cs="Arial"/>
                <w:sz w:val="22"/>
                <w:szCs w:val="22"/>
                <w:lang w:eastAsia="en-US"/>
              </w:rPr>
            </w:pPr>
          </w:p>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Građevine za stočarsko-peradarsku proizvodnju koje su u postupku legalizacije</w:t>
            </w:r>
          </w:p>
        </w:tc>
        <w:tc>
          <w:tcPr>
            <w:tcW w:w="141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7,00 kn</w:t>
            </w:r>
          </w:p>
        </w:tc>
        <w:tc>
          <w:tcPr>
            <w:tcW w:w="1268" w:type="dxa"/>
          </w:tcPr>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5,00 kn</w:t>
            </w:r>
          </w:p>
        </w:tc>
      </w:tr>
      <w:tr w:rsidR="00CC5C81" w:rsidRPr="00CC5C81" w:rsidTr="00D40FD4">
        <w:trPr>
          <w:jc w:val="center"/>
        </w:trPr>
        <w:tc>
          <w:tcPr>
            <w:tcW w:w="6374" w:type="dxa"/>
          </w:tcPr>
          <w:p w:rsidR="00CC5C81" w:rsidRPr="00CC5C81" w:rsidRDefault="00CC5C81" w:rsidP="00CC5C81">
            <w:pPr>
              <w:suppressAutoHyphens/>
              <w:rPr>
                <w:rFonts w:ascii="Arial" w:hAnsi="Arial" w:cs="Arial"/>
                <w:sz w:val="22"/>
                <w:szCs w:val="22"/>
                <w:lang w:eastAsia="en-US"/>
              </w:rPr>
            </w:pPr>
            <w:r w:rsidRPr="00CC5C81">
              <w:rPr>
                <w:rFonts w:ascii="Arial" w:hAnsi="Arial" w:cs="Arial"/>
                <w:sz w:val="22"/>
                <w:szCs w:val="22"/>
                <w:lang w:eastAsia="en-US"/>
              </w:rPr>
              <w:t xml:space="preserve">Građevine za stočarsko-peradarsku proizvodnju kada se grade kao novogradnje radi </w:t>
            </w:r>
            <w:proofErr w:type="spellStart"/>
            <w:r w:rsidRPr="00CC5C81">
              <w:rPr>
                <w:rFonts w:ascii="Arial" w:hAnsi="Arial" w:cs="Arial"/>
                <w:sz w:val="22"/>
                <w:szCs w:val="22"/>
                <w:lang w:eastAsia="en-US"/>
              </w:rPr>
              <w:t>izmještanja</w:t>
            </w:r>
            <w:proofErr w:type="spellEnd"/>
            <w:r w:rsidRPr="00CC5C81">
              <w:rPr>
                <w:rFonts w:ascii="Arial" w:hAnsi="Arial" w:cs="Arial"/>
                <w:sz w:val="22"/>
                <w:szCs w:val="22"/>
                <w:lang w:eastAsia="en-US"/>
              </w:rPr>
              <w:t xml:space="preserve"> takvih postojećih građevina iz građevinskog područja na lokacije izvan građevinskih područja u skladu s prostornim planom</w:t>
            </w:r>
          </w:p>
        </w:tc>
        <w:tc>
          <w:tcPr>
            <w:tcW w:w="1418" w:type="dxa"/>
          </w:tcPr>
          <w:p w:rsidR="00CC5C81" w:rsidRPr="00CC5C81" w:rsidRDefault="00CC5C81" w:rsidP="00CC5C81">
            <w:pPr>
              <w:suppressAutoHyphens/>
              <w:jc w:val="right"/>
              <w:rPr>
                <w:rFonts w:ascii="Arial" w:hAnsi="Arial" w:cs="Arial"/>
                <w:sz w:val="22"/>
                <w:szCs w:val="22"/>
                <w:lang w:eastAsia="en-US"/>
              </w:rPr>
            </w:pPr>
          </w:p>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 kn</w:t>
            </w:r>
          </w:p>
        </w:tc>
        <w:tc>
          <w:tcPr>
            <w:tcW w:w="1268" w:type="dxa"/>
          </w:tcPr>
          <w:p w:rsidR="00CC5C81" w:rsidRPr="00CC5C81" w:rsidRDefault="00CC5C81" w:rsidP="00CC5C81">
            <w:pPr>
              <w:suppressAutoHyphens/>
              <w:jc w:val="right"/>
              <w:rPr>
                <w:rFonts w:ascii="Arial" w:hAnsi="Arial" w:cs="Arial"/>
                <w:sz w:val="22"/>
                <w:szCs w:val="22"/>
                <w:lang w:eastAsia="en-US"/>
              </w:rPr>
            </w:pPr>
          </w:p>
          <w:p w:rsidR="00CC5C81" w:rsidRPr="00CC5C81" w:rsidRDefault="00CC5C81" w:rsidP="00CC5C81">
            <w:pPr>
              <w:suppressAutoHyphens/>
              <w:jc w:val="right"/>
              <w:rPr>
                <w:rFonts w:ascii="Arial" w:hAnsi="Arial" w:cs="Arial"/>
                <w:sz w:val="22"/>
                <w:szCs w:val="22"/>
                <w:lang w:eastAsia="en-US"/>
              </w:rPr>
            </w:pPr>
            <w:r w:rsidRPr="00CC5C81">
              <w:rPr>
                <w:rFonts w:ascii="Arial" w:hAnsi="Arial" w:cs="Arial"/>
                <w:sz w:val="22"/>
                <w:szCs w:val="22"/>
                <w:lang w:eastAsia="en-US"/>
              </w:rPr>
              <w:t>1,00 kn</w:t>
            </w:r>
          </w:p>
        </w:tc>
      </w:tr>
    </w:tbl>
    <w:p w:rsidR="008B7D00" w:rsidRDefault="008B7D00" w:rsidP="008B7D00">
      <w:pPr>
        <w:pStyle w:val="Tijeloteksta21"/>
        <w:ind w:left="1080"/>
        <w:jc w:val="left"/>
        <w:rPr>
          <w:rFonts w:ascii="Arial" w:hAnsi="Arial" w:cs="Arial"/>
          <w:sz w:val="22"/>
          <w:szCs w:val="22"/>
        </w:rPr>
      </w:pPr>
    </w:p>
    <w:p w:rsidR="008B7D00" w:rsidRPr="008B7D00" w:rsidRDefault="008B7D00" w:rsidP="008B7D00">
      <w:pPr>
        <w:pStyle w:val="Tijeloteksta21"/>
        <w:ind w:left="1080"/>
        <w:jc w:val="left"/>
        <w:rPr>
          <w:rFonts w:ascii="Arial" w:hAnsi="Arial" w:cs="Arial"/>
          <w:sz w:val="22"/>
          <w:szCs w:val="22"/>
        </w:rPr>
      </w:pPr>
    </w:p>
    <w:p w:rsidR="001179C3" w:rsidRPr="009B6B9C" w:rsidRDefault="001179C3" w:rsidP="0037785B">
      <w:pPr>
        <w:pStyle w:val="Tijeloteksta21"/>
        <w:numPr>
          <w:ilvl w:val="0"/>
          <w:numId w:val="1"/>
        </w:numPr>
        <w:jc w:val="left"/>
        <w:rPr>
          <w:rFonts w:ascii="Arial" w:hAnsi="Arial" w:cs="Arial"/>
          <w:sz w:val="22"/>
          <w:szCs w:val="22"/>
        </w:rPr>
      </w:pPr>
      <w:r w:rsidRPr="009B6B9C">
        <w:rPr>
          <w:rFonts w:ascii="Arial" w:hAnsi="Arial" w:cs="Arial"/>
          <w:b w:val="0"/>
          <w:sz w:val="22"/>
          <w:szCs w:val="22"/>
        </w:rPr>
        <w:t xml:space="preserve">  </w:t>
      </w:r>
      <w:r w:rsidRPr="009B6B9C">
        <w:rPr>
          <w:rFonts w:ascii="Arial" w:hAnsi="Arial" w:cs="Arial"/>
          <w:sz w:val="22"/>
          <w:szCs w:val="22"/>
        </w:rPr>
        <w:t>NAČIN I ROKOVI PLAĆANJA KOMUNALNOG DOPRINOSA</w:t>
      </w:r>
    </w:p>
    <w:p w:rsidR="001179C3" w:rsidRPr="009B6B9C" w:rsidRDefault="001179C3" w:rsidP="001179C3">
      <w:pPr>
        <w:pStyle w:val="Tijeloteksta21"/>
        <w:jc w:val="left"/>
        <w:rPr>
          <w:rFonts w:ascii="Arial" w:hAnsi="Arial" w:cs="Arial"/>
          <w:b w:val="0"/>
          <w:sz w:val="22"/>
          <w:szCs w:val="22"/>
        </w:rPr>
      </w:pPr>
    </w:p>
    <w:p w:rsidR="001179C3" w:rsidRDefault="001179C3" w:rsidP="001179C3">
      <w:pPr>
        <w:pStyle w:val="Tijeloteksta21"/>
        <w:jc w:val="left"/>
        <w:rPr>
          <w:rFonts w:ascii="Arial" w:hAnsi="Arial" w:cs="Arial"/>
          <w:sz w:val="22"/>
          <w:szCs w:val="22"/>
        </w:rPr>
      </w:pPr>
      <w:r w:rsidRPr="009B6B9C">
        <w:rPr>
          <w:rFonts w:ascii="Arial" w:hAnsi="Arial" w:cs="Arial"/>
          <w:sz w:val="22"/>
          <w:szCs w:val="22"/>
        </w:rPr>
        <w:t xml:space="preserve">                                                                     Članak 8. </w:t>
      </w:r>
    </w:p>
    <w:p w:rsidR="00DB3695" w:rsidRPr="009B6B9C" w:rsidRDefault="00DB3695" w:rsidP="001179C3">
      <w:pPr>
        <w:pStyle w:val="Tijeloteksta21"/>
        <w:jc w:val="left"/>
        <w:rPr>
          <w:rFonts w:ascii="Arial" w:hAnsi="Arial" w:cs="Arial"/>
          <w:sz w:val="22"/>
          <w:szCs w:val="22"/>
        </w:rPr>
      </w:pPr>
    </w:p>
    <w:p w:rsidR="001179C3" w:rsidRDefault="001179C3" w:rsidP="00456BE1">
      <w:pPr>
        <w:pStyle w:val="Tijeloteksta21"/>
        <w:ind w:firstLine="709"/>
        <w:jc w:val="both"/>
        <w:rPr>
          <w:rFonts w:ascii="Arial" w:hAnsi="Arial" w:cs="Arial"/>
          <w:b w:val="0"/>
          <w:sz w:val="22"/>
          <w:szCs w:val="22"/>
        </w:rPr>
      </w:pPr>
      <w:r w:rsidRPr="009B6B9C">
        <w:rPr>
          <w:rFonts w:ascii="Arial" w:hAnsi="Arial" w:cs="Arial"/>
          <w:b w:val="0"/>
          <w:sz w:val="22"/>
          <w:szCs w:val="22"/>
        </w:rPr>
        <w:t>Komunalni doprinos obveznik plaća jednokratno na</w:t>
      </w:r>
      <w:r w:rsidR="002B0511">
        <w:rPr>
          <w:rFonts w:ascii="Arial" w:hAnsi="Arial" w:cs="Arial"/>
          <w:b w:val="0"/>
          <w:sz w:val="22"/>
          <w:szCs w:val="22"/>
        </w:rPr>
        <w:t xml:space="preserve"> poslovni račun Općine Petrijanec</w:t>
      </w:r>
      <w:r w:rsidRPr="009B6B9C">
        <w:rPr>
          <w:rFonts w:ascii="Arial" w:hAnsi="Arial" w:cs="Arial"/>
          <w:b w:val="0"/>
          <w:sz w:val="22"/>
          <w:szCs w:val="22"/>
        </w:rPr>
        <w:t xml:space="preserve"> na temelju rješenja koje donosi Jedinstveni upravni odjel u roku od 15 dana od dana izvršnosti rješenja o komunalnom doprinosu. </w:t>
      </w:r>
    </w:p>
    <w:p w:rsidR="008B3F3D" w:rsidRDefault="008B3F3D" w:rsidP="00456BE1">
      <w:pPr>
        <w:pStyle w:val="Tijeloteksta21"/>
        <w:ind w:firstLine="709"/>
        <w:jc w:val="both"/>
        <w:rPr>
          <w:rFonts w:ascii="Arial" w:hAnsi="Arial" w:cs="Arial"/>
          <w:b w:val="0"/>
          <w:sz w:val="22"/>
          <w:szCs w:val="22"/>
        </w:rPr>
      </w:pPr>
    </w:p>
    <w:p w:rsidR="001179C3" w:rsidRDefault="001179C3" w:rsidP="008B7D00">
      <w:pPr>
        <w:pStyle w:val="Tijeloteksta21"/>
        <w:ind w:firstLine="708"/>
        <w:jc w:val="both"/>
        <w:rPr>
          <w:rFonts w:ascii="Arial" w:hAnsi="Arial" w:cs="Arial"/>
          <w:b w:val="0"/>
          <w:sz w:val="22"/>
          <w:szCs w:val="22"/>
        </w:rPr>
      </w:pPr>
      <w:r w:rsidRPr="009B6B9C">
        <w:rPr>
          <w:rFonts w:ascii="Arial" w:hAnsi="Arial" w:cs="Arial"/>
          <w:b w:val="0"/>
          <w:sz w:val="22"/>
          <w:szCs w:val="22"/>
        </w:rPr>
        <w:t>Potvrdu o uplaćenom komunalnom doprinosu izdaje Jedinstveni upravni odjel, a na temelju dostavljenih podataka iz računovodstva.</w:t>
      </w:r>
    </w:p>
    <w:p w:rsidR="00B01C97" w:rsidRPr="009B6B9C" w:rsidRDefault="00B01C97" w:rsidP="008B7D00">
      <w:pPr>
        <w:pStyle w:val="Tijeloteksta21"/>
        <w:ind w:firstLine="708"/>
        <w:jc w:val="both"/>
        <w:rPr>
          <w:rFonts w:ascii="Arial" w:hAnsi="Arial" w:cs="Arial"/>
          <w:b w:val="0"/>
          <w:sz w:val="22"/>
          <w:szCs w:val="22"/>
        </w:rPr>
      </w:pPr>
    </w:p>
    <w:p w:rsidR="001179C3"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Iznimno, komunalni doprinos može se na zahtjev obveznika plaćanja komunalnog doprinosa platiti obročno u najviše 6 jednakih mjesečnih obroka.</w:t>
      </w:r>
    </w:p>
    <w:p w:rsidR="00FC5750" w:rsidRDefault="00FC5750" w:rsidP="00396497">
      <w:pPr>
        <w:pStyle w:val="Tijeloteksta21"/>
        <w:jc w:val="both"/>
        <w:rPr>
          <w:rFonts w:ascii="Arial" w:hAnsi="Arial" w:cs="Arial"/>
          <w:b w:val="0"/>
          <w:sz w:val="22"/>
          <w:szCs w:val="22"/>
        </w:rPr>
      </w:pPr>
    </w:p>
    <w:p w:rsidR="00FC5750" w:rsidRPr="009B6B9C" w:rsidRDefault="00FC5750" w:rsidP="00DB3695">
      <w:pPr>
        <w:pStyle w:val="Tijeloteksta21"/>
        <w:ind w:firstLine="708"/>
        <w:jc w:val="both"/>
        <w:rPr>
          <w:rFonts w:ascii="Arial" w:hAnsi="Arial" w:cs="Arial"/>
          <w:b w:val="0"/>
          <w:sz w:val="22"/>
          <w:szCs w:val="22"/>
        </w:rPr>
      </w:pPr>
      <w:r>
        <w:rPr>
          <w:rFonts w:ascii="Arial" w:hAnsi="Arial" w:cs="Arial"/>
          <w:b w:val="0"/>
          <w:sz w:val="22"/>
          <w:szCs w:val="22"/>
        </w:rPr>
        <w:t>Odobrenje za obročnu otplatu izdaje općinski načelnik.</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Kod obročnog plaćanja prvi obrok dospijeva u roku od 15 dana od dana izvršnosti rješenja o komunalnom doprinosu, a s</w:t>
      </w:r>
      <w:r w:rsidR="00256D91">
        <w:rPr>
          <w:rFonts w:ascii="Arial" w:hAnsi="Arial" w:cs="Arial"/>
          <w:b w:val="0"/>
          <w:sz w:val="22"/>
          <w:szCs w:val="22"/>
        </w:rPr>
        <w:t>vaki d</w:t>
      </w:r>
      <w:r w:rsidR="00452915">
        <w:rPr>
          <w:rFonts w:ascii="Arial" w:hAnsi="Arial" w:cs="Arial"/>
          <w:b w:val="0"/>
          <w:sz w:val="22"/>
          <w:szCs w:val="22"/>
        </w:rPr>
        <w:t>aljnji do 30.-</w:t>
      </w:r>
      <w:proofErr w:type="spellStart"/>
      <w:r w:rsidR="00452915">
        <w:rPr>
          <w:rFonts w:ascii="Arial" w:hAnsi="Arial" w:cs="Arial"/>
          <w:b w:val="0"/>
          <w:sz w:val="22"/>
          <w:szCs w:val="22"/>
        </w:rPr>
        <w:t>og</w:t>
      </w:r>
      <w:proofErr w:type="spellEnd"/>
      <w:r w:rsidR="00452915">
        <w:rPr>
          <w:rFonts w:ascii="Arial" w:hAnsi="Arial" w:cs="Arial"/>
          <w:b w:val="0"/>
          <w:sz w:val="22"/>
          <w:szCs w:val="22"/>
        </w:rPr>
        <w:t xml:space="preserve"> u mjesecu.</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Na nedospjele obroke iz ovog članka ne obračunava se kamata.</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1179C3">
      <w:pPr>
        <w:pStyle w:val="Tijeloteksta21"/>
        <w:numPr>
          <w:ilvl w:val="0"/>
          <w:numId w:val="1"/>
        </w:numPr>
        <w:jc w:val="both"/>
        <w:rPr>
          <w:rFonts w:ascii="Arial" w:hAnsi="Arial" w:cs="Arial"/>
          <w:sz w:val="22"/>
          <w:szCs w:val="22"/>
        </w:rPr>
      </w:pPr>
      <w:r w:rsidRPr="009B6B9C">
        <w:rPr>
          <w:rFonts w:ascii="Arial" w:hAnsi="Arial" w:cs="Arial"/>
          <w:sz w:val="22"/>
          <w:szCs w:val="22"/>
        </w:rPr>
        <w:lastRenderedPageBreak/>
        <w:t>OSLOBAĐANJE OD PLAĆANJA KOMUNALNOG DOPRINOSA</w:t>
      </w:r>
    </w:p>
    <w:p w:rsidR="001179C3" w:rsidRPr="009B6B9C" w:rsidRDefault="001179C3" w:rsidP="008B3F3D">
      <w:pPr>
        <w:pStyle w:val="Tijeloteksta21"/>
        <w:jc w:val="both"/>
        <w:rPr>
          <w:rFonts w:ascii="Arial" w:hAnsi="Arial" w:cs="Arial"/>
          <w:sz w:val="22"/>
          <w:szCs w:val="22"/>
        </w:rPr>
      </w:pPr>
    </w:p>
    <w:p w:rsidR="001179C3" w:rsidRDefault="001179C3" w:rsidP="001179C3">
      <w:pPr>
        <w:pStyle w:val="Tijeloteksta21"/>
        <w:ind w:left="360"/>
        <w:rPr>
          <w:rFonts w:ascii="Arial" w:hAnsi="Arial" w:cs="Arial"/>
          <w:sz w:val="22"/>
          <w:szCs w:val="22"/>
        </w:rPr>
      </w:pPr>
      <w:r w:rsidRPr="009B6B9C">
        <w:rPr>
          <w:rFonts w:ascii="Arial" w:hAnsi="Arial" w:cs="Arial"/>
          <w:sz w:val="22"/>
          <w:szCs w:val="22"/>
        </w:rPr>
        <w:t>Članak 9.</w:t>
      </w:r>
    </w:p>
    <w:p w:rsidR="00DB3695" w:rsidRDefault="00DB3695" w:rsidP="001179C3">
      <w:pPr>
        <w:pStyle w:val="Tijeloteksta21"/>
        <w:ind w:left="360"/>
        <w:rPr>
          <w:rFonts w:ascii="Arial" w:hAnsi="Arial" w:cs="Arial"/>
          <w:sz w:val="22"/>
          <w:szCs w:val="22"/>
        </w:rPr>
      </w:pPr>
    </w:p>
    <w:p w:rsidR="001179C3" w:rsidRPr="009B6B9C" w:rsidRDefault="001179C3" w:rsidP="00DB3695">
      <w:pPr>
        <w:pStyle w:val="Tijeloteksta21"/>
        <w:ind w:firstLine="360"/>
        <w:jc w:val="both"/>
        <w:rPr>
          <w:rFonts w:ascii="Arial" w:hAnsi="Arial" w:cs="Arial"/>
          <w:b w:val="0"/>
          <w:sz w:val="22"/>
          <w:szCs w:val="22"/>
        </w:rPr>
      </w:pPr>
      <w:r w:rsidRPr="009B6B9C">
        <w:rPr>
          <w:rFonts w:ascii="Arial" w:hAnsi="Arial" w:cs="Arial"/>
          <w:b w:val="0"/>
          <w:sz w:val="22"/>
          <w:szCs w:val="22"/>
        </w:rPr>
        <w:t>Komunalni doprinos se ne plaća za građenje i ozakonjenje:</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komunalne infrastrukture i vatrogasnih domova</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vojnih građevina,</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prometne, vodne, komunikacijske i elektroničke komunikacijske infrastrukture</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xml:space="preserve">- nadzemnih i podzemnih </w:t>
      </w:r>
      <w:proofErr w:type="spellStart"/>
      <w:r w:rsidRPr="009B6B9C">
        <w:rPr>
          <w:rFonts w:ascii="Arial" w:hAnsi="Arial" w:cs="Arial"/>
          <w:b w:val="0"/>
          <w:sz w:val="22"/>
          <w:szCs w:val="22"/>
        </w:rPr>
        <w:t>produktovoda</w:t>
      </w:r>
      <w:proofErr w:type="spellEnd"/>
      <w:r w:rsidRPr="009B6B9C">
        <w:rPr>
          <w:rFonts w:ascii="Arial" w:hAnsi="Arial" w:cs="Arial"/>
          <w:b w:val="0"/>
          <w:sz w:val="22"/>
          <w:szCs w:val="22"/>
        </w:rPr>
        <w:t xml:space="preserve"> i vodova</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sportskih i dječjih igrališta</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ograda, zidova i potpornih zidova</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xml:space="preserve">- parkirališta, cesta, staza, mostića, fontana, cisterna za vodu, septičkih jama, sunčanih </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xml:space="preserve">  kolektora, </w:t>
      </w:r>
      <w:proofErr w:type="spellStart"/>
      <w:r w:rsidRPr="009B6B9C">
        <w:rPr>
          <w:rFonts w:ascii="Arial" w:hAnsi="Arial" w:cs="Arial"/>
          <w:b w:val="0"/>
          <w:sz w:val="22"/>
          <w:szCs w:val="22"/>
        </w:rPr>
        <w:t>fotonaponskih</w:t>
      </w:r>
      <w:proofErr w:type="spellEnd"/>
      <w:r w:rsidRPr="009B6B9C">
        <w:rPr>
          <w:rFonts w:ascii="Arial" w:hAnsi="Arial" w:cs="Arial"/>
          <w:b w:val="0"/>
          <w:sz w:val="22"/>
          <w:szCs w:val="22"/>
        </w:rPr>
        <w:t xml:space="preserve"> modula na građevnoj čestici ili obuhvatu zahvata u prostoru </w:t>
      </w:r>
    </w:p>
    <w:p w:rsidR="001179C3" w:rsidRPr="009B6B9C" w:rsidRDefault="001179C3" w:rsidP="001179C3">
      <w:pPr>
        <w:pStyle w:val="Tijeloteksta21"/>
        <w:ind w:left="360"/>
        <w:jc w:val="both"/>
        <w:rPr>
          <w:rFonts w:ascii="Arial" w:hAnsi="Arial" w:cs="Arial"/>
          <w:b w:val="0"/>
          <w:sz w:val="22"/>
          <w:szCs w:val="22"/>
        </w:rPr>
      </w:pPr>
      <w:r w:rsidRPr="009B6B9C">
        <w:rPr>
          <w:rFonts w:ascii="Arial" w:hAnsi="Arial" w:cs="Arial"/>
          <w:b w:val="0"/>
          <w:sz w:val="22"/>
          <w:szCs w:val="22"/>
        </w:rPr>
        <w:t xml:space="preserve">  postojeće građevine ili na postojećoj građevini, koji su namijenjeni uporabi te građevine</w:t>
      </w:r>
    </w:p>
    <w:p w:rsidR="001F6637" w:rsidRPr="008B3F3D" w:rsidRDefault="001179C3" w:rsidP="008B3F3D">
      <w:pPr>
        <w:pStyle w:val="Tijeloteksta21"/>
        <w:ind w:left="360"/>
        <w:jc w:val="both"/>
        <w:rPr>
          <w:rFonts w:ascii="Arial" w:hAnsi="Arial" w:cs="Arial"/>
          <w:b w:val="0"/>
          <w:sz w:val="22"/>
          <w:szCs w:val="22"/>
        </w:rPr>
      </w:pPr>
      <w:r w:rsidRPr="009B6B9C">
        <w:rPr>
          <w:rFonts w:ascii="Arial" w:hAnsi="Arial" w:cs="Arial"/>
          <w:b w:val="0"/>
          <w:sz w:val="22"/>
          <w:szCs w:val="22"/>
        </w:rPr>
        <w:t>- spomenika.</w:t>
      </w:r>
    </w:p>
    <w:p w:rsidR="001179C3" w:rsidRPr="009B6B9C" w:rsidRDefault="001179C3" w:rsidP="001179C3">
      <w:pPr>
        <w:pStyle w:val="Tijeloteksta21"/>
        <w:rPr>
          <w:rFonts w:ascii="Arial" w:hAnsi="Arial" w:cs="Arial"/>
          <w:sz w:val="22"/>
          <w:szCs w:val="22"/>
        </w:rPr>
      </w:pPr>
      <w:r w:rsidRPr="009B6B9C">
        <w:rPr>
          <w:rFonts w:ascii="Arial" w:hAnsi="Arial" w:cs="Arial"/>
          <w:sz w:val="22"/>
          <w:szCs w:val="22"/>
        </w:rPr>
        <w:t>Članak 10.</w:t>
      </w:r>
    </w:p>
    <w:p w:rsidR="001179C3" w:rsidRPr="009B6B9C" w:rsidRDefault="001179C3"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Obveze plaćanja komunalnog doprinosa za građevinu u javnom interesu ili interesu Općine mogu se, u cijelosti ili djelomično, osloboditi</w:t>
      </w:r>
      <w:r w:rsidR="00DB3695">
        <w:rPr>
          <w:rFonts w:ascii="Arial" w:hAnsi="Arial" w:cs="Arial"/>
          <w:b w:val="0"/>
          <w:sz w:val="22"/>
          <w:szCs w:val="22"/>
        </w:rPr>
        <w:t>:</w:t>
      </w:r>
    </w:p>
    <w:p w:rsidR="001179C3" w:rsidRPr="009B6B9C" w:rsidRDefault="001179C3" w:rsidP="003B3675">
      <w:pPr>
        <w:pStyle w:val="Tijeloteksta21"/>
        <w:jc w:val="both"/>
        <w:rPr>
          <w:rFonts w:ascii="Arial" w:hAnsi="Arial" w:cs="Arial"/>
          <w:b w:val="0"/>
          <w:sz w:val="22"/>
          <w:szCs w:val="22"/>
        </w:rPr>
      </w:pPr>
      <w:r w:rsidRPr="009B6B9C">
        <w:rPr>
          <w:rFonts w:ascii="Arial" w:hAnsi="Arial" w:cs="Arial"/>
          <w:b w:val="0"/>
          <w:sz w:val="22"/>
          <w:szCs w:val="22"/>
        </w:rPr>
        <w:t>- javne ustanove kojima je Općina osnivač i trgovačka društva u potpunom ili djelomičnom vlasništvu Općine,</w:t>
      </w:r>
    </w:p>
    <w:p w:rsidR="001179C3" w:rsidRPr="009B6B9C" w:rsidRDefault="001179C3" w:rsidP="003B3675">
      <w:pPr>
        <w:pStyle w:val="Tijeloteksta21"/>
        <w:jc w:val="both"/>
        <w:rPr>
          <w:rFonts w:ascii="Arial" w:hAnsi="Arial" w:cs="Arial"/>
          <w:b w:val="0"/>
          <w:sz w:val="22"/>
          <w:szCs w:val="22"/>
        </w:rPr>
      </w:pPr>
      <w:r w:rsidRPr="009B6B9C">
        <w:rPr>
          <w:rFonts w:ascii="Arial" w:hAnsi="Arial" w:cs="Arial"/>
          <w:b w:val="0"/>
          <w:sz w:val="22"/>
          <w:szCs w:val="22"/>
        </w:rPr>
        <w:t>- investitori izgradnje građevina namijenjenih zdravstvenoj djelatnosti, socijalnoj skrbi,</w:t>
      </w:r>
      <w:r w:rsidR="003B3675">
        <w:rPr>
          <w:rFonts w:ascii="Arial" w:hAnsi="Arial" w:cs="Arial"/>
          <w:b w:val="0"/>
          <w:sz w:val="22"/>
          <w:szCs w:val="22"/>
        </w:rPr>
        <w:t xml:space="preserve"> kulturi, </w:t>
      </w:r>
      <w:r w:rsidRPr="009B6B9C">
        <w:rPr>
          <w:rFonts w:ascii="Arial" w:hAnsi="Arial" w:cs="Arial"/>
          <w:b w:val="0"/>
          <w:sz w:val="22"/>
          <w:szCs w:val="22"/>
        </w:rPr>
        <w:t>sportu, predškolskom, osnovnoškolskom i srednjem obrazovanju, te sakralnih</w:t>
      </w:r>
      <w:r w:rsidR="003B3675">
        <w:rPr>
          <w:rFonts w:ascii="Arial" w:hAnsi="Arial" w:cs="Arial"/>
          <w:b w:val="0"/>
          <w:sz w:val="22"/>
          <w:szCs w:val="22"/>
        </w:rPr>
        <w:t xml:space="preserve"> </w:t>
      </w:r>
      <w:r w:rsidRPr="009B6B9C">
        <w:rPr>
          <w:rFonts w:ascii="Arial" w:hAnsi="Arial" w:cs="Arial"/>
          <w:b w:val="0"/>
          <w:sz w:val="22"/>
          <w:szCs w:val="22"/>
        </w:rPr>
        <w:t>građevina,</w:t>
      </w:r>
    </w:p>
    <w:p w:rsidR="001179C3" w:rsidRPr="009B6B9C" w:rsidRDefault="001179C3" w:rsidP="003B3675">
      <w:pPr>
        <w:pStyle w:val="Tijeloteksta21"/>
        <w:jc w:val="both"/>
        <w:rPr>
          <w:rFonts w:ascii="Arial" w:hAnsi="Arial" w:cs="Arial"/>
          <w:b w:val="0"/>
          <w:sz w:val="22"/>
          <w:szCs w:val="22"/>
        </w:rPr>
      </w:pPr>
      <w:r w:rsidRPr="009B6B9C">
        <w:rPr>
          <w:rFonts w:ascii="Arial" w:hAnsi="Arial" w:cs="Arial"/>
          <w:b w:val="0"/>
          <w:sz w:val="22"/>
          <w:szCs w:val="22"/>
        </w:rPr>
        <w:t>- investitori koji grade javnu infrastrukturu državne i regionalne razine (građevine i uređaji kojima neposredno upravljaju pravne osobe s javnim ovlastima u području prometa, energetike, upravljanja vodama i gospodarenja s drugim vrstama prirodnih dobara ili zaštite okoliša),</w:t>
      </w:r>
    </w:p>
    <w:p w:rsidR="001179C3" w:rsidRPr="009B6B9C" w:rsidRDefault="001179C3" w:rsidP="003B3675">
      <w:pPr>
        <w:pStyle w:val="Tijeloteksta21"/>
        <w:jc w:val="both"/>
        <w:rPr>
          <w:rFonts w:ascii="Arial" w:hAnsi="Arial" w:cs="Arial"/>
          <w:b w:val="0"/>
          <w:sz w:val="22"/>
          <w:szCs w:val="22"/>
        </w:rPr>
      </w:pPr>
      <w:r w:rsidRPr="009B6B9C">
        <w:rPr>
          <w:rFonts w:ascii="Arial" w:hAnsi="Arial" w:cs="Arial"/>
          <w:b w:val="0"/>
          <w:sz w:val="22"/>
          <w:szCs w:val="22"/>
        </w:rPr>
        <w:t>- investitori koji grade poslovne građevine od izuzetnog značaja za gospodarski razvoj</w:t>
      </w:r>
      <w:r w:rsidR="003B3675">
        <w:rPr>
          <w:rFonts w:ascii="Arial" w:hAnsi="Arial" w:cs="Arial"/>
          <w:b w:val="0"/>
          <w:sz w:val="22"/>
          <w:szCs w:val="22"/>
        </w:rPr>
        <w:t xml:space="preserve"> </w:t>
      </w:r>
      <w:r w:rsidRPr="009B6B9C">
        <w:rPr>
          <w:rFonts w:ascii="Arial" w:hAnsi="Arial" w:cs="Arial"/>
          <w:b w:val="0"/>
          <w:sz w:val="22"/>
          <w:szCs w:val="22"/>
        </w:rPr>
        <w:t>Općine.</w:t>
      </w:r>
    </w:p>
    <w:p w:rsidR="001179C3" w:rsidRPr="009B6B9C" w:rsidRDefault="001179C3" w:rsidP="003B3675">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Rješenje o potpunom oslobađanju obveze plaćanja komunalnog doprinosa u smislu ovog članka donosi Jedinstveni upravni odjel uz prethodnu suglasnost O</w:t>
      </w:r>
      <w:r w:rsidR="000774ED">
        <w:rPr>
          <w:rFonts w:ascii="Arial" w:hAnsi="Arial" w:cs="Arial"/>
          <w:b w:val="0"/>
          <w:sz w:val="22"/>
          <w:szCs w:val="22"/>
        </w:rPr>
        <w:t>pćinskog vijeća Općine Petrijanec</w:t>
      </w:r>
      <w:r w:rsidRPr="009B6B9C">
        <w:rPr>
          <w:rFonts w:ascii="Arial" w:hAnsi="Arial" w:cs="Arial"/>
          <w:b w:val="0"/>
          <w:sz w:val="22"/>
          <w:szCs w:val="22"/>
        </w:rPr>
        <w:t>.</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1F6637">
      <w:pPr>
        <w:pStyle w:val="Tijeloteksta21"/>
        <w:ind w:firstLine="708"/>
        <w:jc w:val="both"/>
        <w:rPr>
          <w:rFonts w:ascii="Arial" w:hAnsi="Arial" w:cs="Arial"/>
          <w:b w:val="0"/>
          <w:sz w:val="22"/>
          <w:szCs w:val="22"/>
        </w:rPr>
      </w:pPr>
      <w:r w:rsidRPr="009B6B9C">
        <w:rPr>
          <w:rFonts w:ascii="Arial" w:hAnsi="Arial" w:cs="Arial"/>
          <w:b w:val="0"/>
          <w:sz w:val="22"/>
          <w:szCs w:val="22"/>
        </w:rPr>
        <w:t>O djelomičnom oslobađanju od plaćanja komunalnog doprinosa iz stavka 1. ovog članka ne donosi se posebno rješenje već se djelomično oslobođenje vrši putem rješenja o komunalnom doprinosu koje donosi Jedinstveni upravni odjel uz prethodnu suglasnost O</w:t>
      </w:r>
      <w:r w:rsidR="000774ED">
        <w:rPr>
          <w:rFonts w:ascii="Arial" w:hAnsi="Arial" w:cs="Arial"/>
          <w:b w:val="0"/>
          <w:sz w:val="22"/>
          <w:szCs w:val="22"/>
        </w:rPr>
        <w:t>pćinskog vijeća Općine Petrijanec</w:t>
      </w:r>
      <w:r w:rsidRPr="009B6B9C">
        <w:rPr>
          <w:rFonts w:ascii="Arial" w:hAnsi="Arial" w:cs="Arial"/>
          <w:b w:val="0"/>
          <w:sz w:val="22"/>
          <w:szCs w:val="22"/>
        </w:rPr>
        <w:t>.</w:t>
      </w:r>
    </w:p>
    <w:p w:rsidR="001179C3" w:rsidRPr="009B6B9C" w:rsidRDefault="001179C3" w:rsidP="001179C3">
      <w:pPr>
        <w:pStyle w:val="Tijeloteksta21"/>
        <w:jc w:val="left"/>
        <w:rPr>
          <w:rFonts w:ascii="Arial" w:hAnsi="Arial" w:cs="Arial"/>
          <w:b w:val="0"/>
          <w:sz w:val="22"/>
          <w:szCs w:val="22"/>
        </w:rPr>
      </w:pPr>
    </w:p>
    <w:p w:rsidR="001179C3" w:rsidRPr="009B6B9C" w:rsidRDefault="001179C3" w:rsidP="001179C3">
      <w:pPr>
        <w:pStyle w:val="Tijeloteksta21"/>
        <w:rPr>
          <w:rFonts w:ascii="Arial" w:hAnsi="Arial" w:cs="Arial"/>
          <w:sz w:val="22"/>
          <w:szCs w:val="22"/>
        </w:rPr>
      </w:pPr>
      <w:r w:rsidRPr="009B6B9C">
        <w:rPr>
          <w:rFonts w:ascii="Arial" w:hAnsi="Arial" w:cs="Arial"/>
          <w:sz w:val="22"/>
          <w:szCs w:val="22"/>
        </w:rPr>
        <w:t>Članak 11.</w:t>
      </w:r>
    </w:p>
    <w:p w:rsidR="001179C3" w:rsidRPr="009B6B9C" w:rsidRDefault="001179C3" w:rsidP="001179C3">
      <w:pPr>
        <w:pStyle w:val="Tijeloteksta21"/>
        <w:rPr>
          <w:rFonts w:ascii="Arial" w:hAnsi="Arial" w:cs="Arial"/>
          <w:sz w:val="22"/>
          <w:szCs w:val="22"/>
        </w:rPr>
      </w:pPr>
    </w:p>
    <w:p w:rsidR="001179C3" w:rsidRDefault="001179C3" w:rsidP="00D95796">
      <w:pPr>
        <w:pStyle w:val="Tijeloteksta21"/>
        <w:ind w:firstLine="708"/>
        <w:jc w:val="both"/>
        <w:rPr>
          <w:rFonts w:ascii="Arial" w:hAnsi="Arial" w:cs="Arial"/>
          <w:b w:val="0"/>
          <w:sz w:val="22"/>
          <w:szCs w:val="22"/>
        </w:rPr>
      </w:pPr>
      <w:r w:rsidRPr="009B6B9C">
        <w:rPr>
          <w:rFonts w:ascii="Arial" w:hAnsi="Arial" w:cs="Arial"/>
          <w:b w:val="0"/>
          <w:sz w:val="22"/>
          <w:szCs w:val="22"/>
        </w:rPr>
        <w:t>U slučajevima oslobođenja od plaćanja komunalnog doprinosa iz članka 10. ove Odluke, sredstva potrebna za izgradnju objekata i uređaja komunalne infrastrukture namijenjena toj svrsi osigurati će</w:t>
      </w:r>
      <w:r w:rsidR="000774ED">
        <w:rPr>
          <w:rFonts w:ascii="Arial" w:hAnsi="Arial" w:cs="Arial"/>
          <w:b w:val="0"/>
          <w:sz w:val="22"/>
          <w:szCs w:val="22"/>
        </w:rPr>
        <w:t xml:space="preserve"> se u proračunu Općine Petrijanec</w:t>
      </w:r>
      <w:r w:rsidRPr="009B6B9C">
        <w:rPr>
          <w:rFonts w:ascii="Arial" w:hAnsi="Arial" w:cs="Arial"/>
          <w:b w:val="0"/>
          <w:sz w:val="22"/>
          <w:szCs w:val="22"/>
        </w:rPr>
        <w:t>.</w:t>
      </w:r>
    </w:p>
    <w:p w:rsidR="00B01C97" w:rsidRPr="009B6B9C" w:rsidRDefault="00B01C97" w:rsidP="00D95796">
      <w:pPr>
        <w:pStyle w:val="Tijeloteksta21"/>
        <w:ind w:firstLine="708"/>
        <w:jc w:val="both"/>
        <w:rPr>
          <w:rFonts w:ascii="Arial" w:hAnsi="Arial" w:cs="Arial"/>
          <w:b w:val="0"/>
          <w:sz w:val="22"/>
          <w:szCs w:val="22"/>
        </w:rPr>
      </w:pPr>
    </w:p>
    <w:p w:rsidR="001179C3" w:rsidRPr="009B6B9C" w:rsidRDefault="001179C3" w:rsidP="001179C3">
      <w:pPr>
        <w:pStyle w:val="Tijeloteksta21"/>
        <w:numPr>
          <w:ilvl w:val="0"/>
          <w:numId w:val="1"/>
        </w:numPr>
        <w:jc w:val="both"/>
        <w:rPr>
          <w:rFonts w:ascii="Arial" w:hAnsi="Arial" w:cs="Arial"/>
          <w:sz w:val="22"/>
          <w:szCs w:val="22"/>
        </w:rPr>
      </w:pPr>
      <w:r w:rsidRPr="009B6B9C">
        <w:rPr>
          <w:rFonts w:ascii="Arial" w:hAnsi="Arial" w:cs="Arial"/>
          <w:sz w:val="22"/>
          <w:szCs w:val="22"/>
        </w:rPr>
        <w:t xml:space="preserve"> RJEŠENJE O KOMUNALNOM DOPRINOSU</w:t>
      </w:r>
    </w:p>
    <w:p w:rsidR="001179C3" w:rsidRPr="009B6B9C" w:rsidRDefault="001179C3" w:rsidP="001179C3">
      <w:pPr>
        <w:pStyle w:val="Tijeloteksta21"/>
        <w:jc w:val="both"/>
        <w:rPr>
          <w:rFonts w:ascii="Arial" w:hAnsi="Arial" w:cs="Arial"/>
          <w:sz w:val="22"/>
          <w:szCs w:val="22"/>
        </w:rPr>
      </w:pPr>
    </w:p>
    <w:p w:rsidR="001179C3" w:rsidRPr="009B6B9C" w:rsidRDefault="001179C3" w:rsidP="00DB3695">
      <w:pPr>
        <w:pStyle w:val="Tijeloteksta21"/>
        <w:ind w:firstLine="360"/>
        <w:jc w:val="both"/>
        <w:rPr>
          <w:rFonts w:ascii="Arial" w:hAnsi="Arial" w:cs="Arial"/>
          <w:sz w:val="22"/>
          <w:szCs w:val="22"/>
        </w:rPr>
      </w:pPr>
      <w:r w:rsidRPr="009B6B9C">
        <w:rPr>
          <w:rFonts w:ascii="Arial" w:hAnsi="Arial" w:cs="Arial"/>
          <w:sz w:val="22"/>
          <w:szCs w:val="22"/>
        </w:rPr>
        <w:t>Donošenje rješenja o komunalnom doprinosu</w:t>
      </w:r>
    </w:p>
    <w:p w:rsidR="001179C3" w:rsidRPr="009B6B9C" w:rsidRDefault="001179C3" w:rsidP="001179C3">
      <w:pPr>
        <w:pStyle w:val="Tijeloteksta21"/>
        <w:jc w:val="both"/>
        <w:rPr>
          <w:rFonts w:ascii="Arial" w:hAnsi="Arial" w:cs="Arial"/>
          <w:sz w:val="22"/>
          <w:szCs w:val="22"/>
        </w:rPr>
      </w:pPr>
    </w:p>
    <w:p w:rsidR="001179C3" w:rsidRPr="009B6B9C" w:rsidRDefault="00D95796" w:rsidP="001179C3">
      <w:pPr>
        <w:pStyle w:val="Tijeloteksta21"/>
        <w:rPr>
          <w:rFonts w:ascii="Arial" w:hAnsi="Arial" w:cs="Arial"/>
          <w:sz w:val="22"/>
          <w:szCs w:val="22"/>
        </w:rPr>
      </w:pPr>
      <w:r>
        <w:rPr>
          <w:rFonts w:ascii="Arial" w:hAnsi="Arial" w:cs="Arial"/>
          <w:sz w:val="22"/>
          <w:szCs w:val="22"/>
        </w:rPr>
        <w:t>Članak 12</w:t>
      </w:r>
      <w:r w:rsidR="001179C3" w:rsidRPr="009B6B9C">
        <w:rPr>
          <w:rFonts w:ascii="Arial" w:hAnsi="Arial" w:cs="Arial"/>
          <w:sz w:val="22"/>
          <w:szCs w:val="22"/>
        </w:rPr>
        <w:t>.</w:t>
      </w:r>
    </w:p>
    <w:p w:rsidR="001179C3" w:rsidRPr="009B6B9C" w:rsidRDefault="001179C3"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Rješenje o komunalnom doprinosu, temeljem ove Odluke donosi Jedinstveni upravni odjel u postupku pokrenutom po:</w:t>
      </w:r>
    </w:p>
    <w:p w:rsidR="001179C3" w:rsidRPr="009B6B9C" w:rsidRDefault="00D94246" w:rsidP="005D6840">
      <w:pPr>
        <w:pStyle w:val="Tijeloteksta21"/>
        <w:jc w:val="both"/>
        <w:rPr>
          <w:rFonts w:ascii="Arial" w:hAnsi="Arial" w:cs="Arial"/>
          <w:b w:val="0"/>
          <w:sz w:val="22"/>
          <w:szCs w:val="22"/>
        </w:rPr>
      </w:pPr>
      <w:r>
        <w:rPr>
          <w:rFonts w:ascii="Arial" w:hAnsi="Arial" w:cs="Arial"/>
          <w:b w:val="0"/>
          <w:sz w:val="22"/>
          <w:szCs w:val="22"/>
        </w:rPr>
        <w:t xml:space="preserve">- službenoj dužnosti - </w:t>
      </w:r>
      <w:r w:rsidR="001179C3" w:rsidRPr="009B6B9C">
        <w:rPr>
          <w:rFonts w:ascii="Arial" w:hAnsi="Arial" w:cs="Arial"/>
          <w:b w:val="0"/>
          <w:sz w:val="22"/>
          <w:szCs w:val="22"/>
        </w:rPr>
        <w:t xml:space="preserve">u skladu s Odlukom o komunalnom doprinosu koja je na snazi na dan pravomoćnosti građevinske dozvole, pravomoćnosti rješenja o izvedenom stanju, odnosno  </w:t>
      </w:r>
      <w:r w:rsidR="001179C3" w:rsidRPr="009B6B9C">
        <w:rPr>
          <w:rFonts w:ascii="Arial" w:hAnsi="Arial" w:cs="Arial"/>
          <w:b w:val="0"/>
          <w:sz w:val="22"/>
          <w:szCs w:val="22"/>
        </w:rPr>
        <w:lastRenderedPageBreak/>
        <w:t xml:space="preserve">koja je na snazi na dan donošenja rješenja o komunalnom doprinosu ako se radi o građevini koja se prema Zakonu o gradnji može </w:t>
      </w:r>
      <w:r>
        <w:rPr>
          <w:rFonts w:ascii="Arial" w:hAnsi="Arial" w:cs="Arial"/>
          <w:b w:val="0"/>
          <w:sz w:val="22"/>
          <w:szCs w:val="22"/>
        </w:rPr>
        <w:t>graditi bez građevinske dozvole</w:t>
      </w:r>
      <w:r w:rsidR="001179C3" w:rsidRPr="009B6B9C">
        <w:rPr>
          <w:rFonts w:ascii="Arial" w:hAnsi="Arial" w:cs="Arial"/>
          <w:b w:val="0"/>
          <w:sz w:val="22"/>
          <w:szCs w:val="22"/>
        </w:rPr>
        <w:t xml:space="preserve"> ili</w:t>
      </w:r>
    </w:p>
    <w:p w:rsidR="001179C3" w:rsidRPr="009B6B9C" w:rsidRDefault="001179C3" w:rsidP="005D6840">
      <w:pPr>
        <w:pStyle w:val="Tijeloteksta21"/>
        <w:jc w:val="both"/>
        <w:rPr>
          <w:rFonts w:ascii="Arial" w:hAnsi="Arial" w:cs="Arial"/>
          <w:b w:val="0"/>
          <w:sz w:val="22"/>
          <w:szCs w:val="22"/>
        </w:rPr>
      </w:pPr>
      <w:r w:rsidRPr="009B6B9C">
        <w:rPr>
          <w:rFonts w:ascii="Arial" w:hAnsi="Arial" w:cs="Arial"/>
          <w:b w:val="0"/>
          <w:sz w:val="22"/>
          <w:szCs w:val="22"/>
        </w:rPr>
        <w:t>-</w:t>
      </w:r>
      <w:r w:rsidR="00D94246">
        <w:rPr>
          <w:rFonts w:ascii="Arial" w:hAnsi="Arial" w:cs="Arial"/>
          <w:b w:val="0"/>
          <w:sz w:val="22"/>
          <w:szCs w:val="22"/>
        </w:rPr>
        <w:t xml:space="preserve"> zahtjevu stranke - </w:t>
      </w:r>
      <w:r w:rsidRPr="009B6B9C">
        <w:rPr>
          <w:rFonts w:ascii="Arial" w:hAnsi="Arial" w:cs="Arial"/>
          <w:b w:val="0"/>
          <w:sz w:val="22"/>
          <w:szCs w:val="22"/>
        </w:rPr>
        <w:t xml:space="preserve">u skladu s Odlukom o komunalnom doprinosu koja je na snazi u vrijeme </w:t>
      </w:r>
    </w:p>
    <w:p w:rsidR="001179C3" w:rsidRDefault="001179C3" w:rsidP="001179C3">
      <w:pPr>
        <w:pStyle w:val="Tijeloteksta21"/>
        <w:jc w:val="both"/>
        <w:rPr>
          <w:rFonts w:ascii="Arial" w:hAnsi="Arial" w:cs="Arial"/>
          <w:b w:val="0"/>
          <w:sz w:val="22"/>
          <w:szCs w:val="22"/>
        </w:rPr>
      </w:pPr>
      <w:r w:rsidRPr="009B6B9C">
        <w:rPr>
          <w:rFonts w:ascii="Arial" w:hAnsi="Arial" w:cs="Arial"/>
          <w:b w:val="0"/>
          <w:sz w:val="22"/>
          <w:szCs w:val="22"/>
        </w:rPr>
        <w:t xml:space="preserve">   podnošenja zahtjeva st</w:t>
      </w:r>
      <w:r w:rsidR="00D94246">
        <w:rPr>
          <w:rFonts w:ascii="Arial" w:hAnsi="Arial" w:cs="Arial"/>
          <w:b w:val="0"/>
          <w:sz w:val="22"/>
          <w:szCs w:val="22"/>
        </w:rPr>
        <w:t>ranke za donošenje tog rješenja</w:t>
      </w:r>
      <w:r w:rsidRPr="009B6B9C">
        <w:rPr>
          <w:rFonts w:ascii="Arial" w:hAnsi="Arial" w:cs="Arial"/>
          <w:b w:val="0"/>
          <w:sz w:val="22"/>
          <w:szCs w:val="22"/>
        </w:rPr>
        <w:t>.</w:t>
      </w:r>
    </w:p>
    <w:p w:rsidR="00D95796" w:rsidRPr="009B6B9C" w:rsidRDefault="00D95796" w:rsidP="001179C3">
      <w:pPr>
        <w:pStyle w:val="Tijeloteksta21"/>
        <w:jc w:val="both"/>
        <w:rPr>
          <w:rFonts w:ascii="Arial" w:hAnsi="Arial" w:cs="Arial"/>
          <w:b w:val="0"/>
          <w:sz w:val="22"/>
          <w:szCs w:val="22"/>
        </w:rPr>
      </w:pPr>
    </w:p>
    <w:p w:rsidR="001179C3" w:rsidRDefault="00D95796" w:rsidP="001179C3">
      <w:pPr>
        <w:pStyle w:val="Tijeloteksta21"/>
        <w:rPr>
          <w:rFonts w:ascii="Arial" w:hAnsi="Arial" w:cs="Arial"/>
          <w:sz w:val="22"/>
          <w:szCs w:val="22"/>
        </w:rPr>
      </w:pPr>
      <w:r>
        <w:rPr>
          <w:rFonts w:ascii="Arial" w:hAnsi="Arial" w:cs="Arial"/>
          <w:sz w:val="22"/>
          <w:szCs w:val="22"/>
        </w:rPr>
        <w:t>Članak 13</w:t>
      </w:r>
      <w:r w:rsidR="001179C3" w:rsidRPr="009B6B9C">
        <w:rPr>
          <w:rFonts w:ascii="Arial" w:hAnsi="Arial" w:cs="Arial"/>
          <w:sz w:val="22"/>
          <w:szCs w:val="22"/>
        </w:rPr>
        <w:t>.</w:t>
      </w:r>
    </w:p>
    <w:p w:rsidR="00DB3695" w:rsidRPr="009B6B9C" w:rsidRDefault="00DB3695"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Rješenje iz prethodnog članka ove Odluke sadrži:</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podatke o obvezniku komunalnog doprinosa</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iznos sredstava komunalnog doprinosa</w:t>
      </w:r>
      <w:r w:rsidR="00C239AC">
        <w:rPr>
          <w:rFonts w:ascii="Arial" w:hAnsi="Arial" w:cs="Arial"/>
          <w:b w:val="0"/>
          <w:sz w:val="22"/>
          <w:szCs w:val="22"/>
        </w:rPr>
        <w:t xml:space="preserve"> koji je obveznik dužan platiti</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obvezu, način i rokove</w:t>
      </w:r>
      <w:r w:rsidR="00C239AC">
        <w:rPr>
          <w:rFonts w:ascii="Arial" w:hAnsi="Arial" w:cs="Arial"/>
          <w:b w:val="0"/>
          <w:sz w:val="22"/>
          <w:szCs w:val="22"/>
        </w:rPr>
        <w:t xml:space="preserve"> plaćanja komunalnog doprinosa </w:t>
      </w:r>
    </w:p>
    <w:p w:rsidR="001179C3" w:rsidRPr="009B6B9C" w:rsidRDefault="001179C3" w:rsidP="001179C3">
      <w:pPr>
        <w:pStyle w:val="Tijeloteksta21"/>
        <w:jc w:val="both"/>
        <w:rPr>
          <w:rFonts w:ascii="Arial" w:hAnsi="Arial" w:cs="Arial"/>
          <w:b w:val="0"/>
          <w:sz w:val="22"/>
          <w:szCs w:val="22"/>
        </w:rPr>
      </w:pPr>
      <w:r w:rsidRPr="009B6B9C">
        <w:rPr>
          <w:rFonts w:ascii="Arial" w:hAnsi="Arial" w:cs="Arial"/>
          <w:b w:val="0"/>
          <w:sz w:val="22"/>
          <w:szCs w:val="22"/>
        </w:rPr>
        <w:t xml:space="preserve">- prikaz načina obračuna komunalnog doprinosa za građevinu koja se gradi ili je izgrađena s  </w:t>
      </w:r>
    </w:p>
    <w:p w:rsidR="001179C3" w:rsidRDefault="001179C3" w:rsidP="001179C3">
      <w:pPr>
        <w:pStyle w:val="Tijeloteksta21"/>
        <w:jc w:val="both"/>
        <w:rPr>
          <w:rFonts w:ascii="Arial" w:hAnsi="Arial" w:cs="Arial"/>
          <w:b w:val="0"/>
          <w:sz w:val="22"/>
          <w:szCs w:val="22"/>
        </w:rPr>
      </w:pPr>
      <w:r w:rsidRPr="009B6B9C">
        <w:rPr>
          <w:rFonts w:ascii="Arial" w:hAnsi="Arial" w:cs="Arial"/>
          <w:b w:val="0"/>
          <w:sz w:val="22"/>
          <w:szCs w:val="22"/>
        </w:rPr>
        <w:t xml:space="preserve">  iskazom obujma, odnosno površine građevine i jedinične vrijednosti komunalnog doprinosa.</w:t>
      </w:r>
    </w:p>
    <w:p w:rsidR="00B01C97" w:rsidRPr="009B6B9C" w:rsidRDefault="00B01C97" w:rsidP="001179C3">
      <w:pPr>
        <w:pStyle w:val="Tijeloteksta21"/>
        <w:jc w:val="both"/>
        <w:rPr>
          <w:rFonts w:ascii="Arial" w:hAnsi="Arial" w:cs="Arial"/>
          <w:b w:val="0"/>
          <w:sz w:val="22"/>
          <w:szCs w:val="22"/>
        </w:rPr>
      </w:pPr>
    </w:p>
    <w:p w:rsidR="001179C3" w:rsidRPr="009B6B9C" w:rsidRDefault="001179C3" w:rsidP="00396497">
      <w:pPr>
        <w:pStyle w:val="Tijeloteksta21"/>
        <w:ind w:firstLine="708"/>
        <w:jc w:val="both"/>
        <w:rPr>
          <w:rFonts w:ascii="Arial" w:hAnsi="Arial" w:cs="Arial"/>
          <w:b w:val="0"/>
          <w:sz w:val="22"/>
          <w:szCs w:val="22"/>
        </w:rPr>
      </w:pPr>
      <w:r w:rsidRPr="009B6B9C">
        <w:rPr>
          <w:rFonts w:ascii="Arial" w:hAnsi="Arial" w:cs="Arial"/>
          <w:b w:val="0"/>
          <w:sz w:val="22"/>
          <w:szCs w:val="22"/>
        </w:rPr>
        <w:t>Rješenje o komunalnom doprinosu koje nema sadržaj propisan prethodnim stavkom ovog članka, ništavo je.</w:t>
      </w:r>
    </w:p>
    <w:p w:rsidR="001179C3" w:rsidRPr="009B6B9C" w:rsidRDefault="00D95796" w:rsidP="001179C3">
      <w:pPr>
        <w:pStyle w:val="Tijeloteksta21"/>
        <w:rPr>
          <w:rFonts w:ascii="Arial" w:hAnsi="Arial" w:cs="Arial"/>
          <w:sz w:val="22"/>
          <w:szCs w:val="22"/>
        </w:rPr>
      </w:pPr>
      <w:r>
        <w:rPr>
          <w:rFonts w:ascii="Arial" w:hAnsi="Arial" w:cs="Arial"/>
          <w:sz w:val="22"/>
          <w:szCs w:val="22"/>
        </w:rPr>
        <w:t>Članak 14</w:t>
      </w:r>
      <w:r w:rsidR="001179C3" w:rsidRPr="009B6B9C">
        <w:rPr>
          <w:rFonts w:ascii="Arial" w:hAnsi="Arial" w:cs="Arial"/>
          <w:sz w:val="22"/>
          <w:szCs w:val="22"/>
        </w:rPr>
        <w:t>.</w:t>
      </w:r>
    </w:p>
    <w:p w:rsidR="001179C3" w:rsidRPr="009B6B9C" w:rsidRDefault="001179C3"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 xml:space="preserve">Rješenje o komunalnom doprinosu donosi se i </w:t>
      </w:r>
      <w:proofErr w:type="spellStart"/>
      <w:r w:rsidRPr="009B6B9C">
        <w:rPr>
          <w:rFonts w:ascii="Arial" w:hAnsi="Arial" w:cs="Arial"/>
          <w:b w:val="0"/>
          <w:sz w:val="22"/>
          <w:szCs w:val="22"/>
        </w:rPr>
        <w:t>ovršava</w:t>
      </w:r>
      <w:proofErr w:type="spellEnd"/>
      <w:r w:rsidRPr="009B6B9C">
        <w:rPr>
          <w:rFonts w:ascii="Arial" w:hAnsi="Arial" w:cs="Arial"/>
          <w:b w:val="0"/>
          <w:sz w:val="22"/>
          <w:szCs w:val="22"/>
        </w:rPr>
        <w:t xml:space="preserve"> u postupku i na način propisan Općim poreznim zakonom, ako Zakonom o komunalnom gospodarstvu nije propisano drukčije.</w:t>
      </w:r>
    </w:p>
    <w:p w:rsidR="001179C3" w:rsidRPr="009B6B9C" w:rsidRDefault="001179C3" w:rsidP="001179C3">
      <w:pPr>
        <w:pStyle w:val="Tijeloteksta21"/>
        <w:jc w:val="both"/>
        <w:rPr>
          <w:rFonts w:ascii="Arial" w:hAnsi="Arial" w:cs="Arial"/>
          <w:b w:val="0"/>
          <w:sz w:val="22"/>
          <w:szCs w:val="22"/>
        </w:rPr>
      </w:pPr>
    </w:p>
    <w:p w:rsidR="001179C3" w:rsidRDefault="001179C3" w:rsidP="00B01C97">
      <w:pPr>
        <w:pStyle w:val="Tijeloteksta21"/>
        <w:ind w:firstLine="708"/>
        <w:jc w:val="both"/>
        <w:rPr>
          <w:rFonts w:ascii="Arial" w:hAnsi="Arial" w:cs="Arial"/>
          <w:b w:val="0"/>
          <w:sz w:val="22"/>
          <w:szCs w:val="22"/>
        </w:rPr>
      </w:pPr>
      <w:r w:rsidRPr="009B6B9C">
        <w:rPr>
          <w:rFonts w:ascii="Arial" w:hAnsi="Arial" w:cs="Arial"/>
          <w:b w:val="0"/>
          <w:sz w:val="22"/>
          <w:szCs w:val="22"/>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Varaždinske županije nadležno za poslove komunalnog gospodarstva.</w:t>
      </w:r>
    </w:p>
    <w:p w:rsidR="00B01C97" w:rsidRPr="009B6B9C" w:rsidRDefault="00B01C97" w:rsidP="00B01C97">
      <w:pPr>
        <w:pStyle w:val="Tijeloteksta21"/>
        <w:ind w:firstLine="708"/>
        <w:jc w:val="both"/>
        <w:rPr>
          <w:rFonts w:ascii="Arial" w:hAnsi="Arial" w:cs="Arial"/>
          <w:b w:val="0"/>
          <w:sz w:val="22"/>
          <w:szCs w:val="22"/>
        </w:rPr>
      </w:pPr>
    </w:p>
    <w:p w:rsidR="001179C3" w:rsidRPr="009B6B9C" w:rsidRDefault="00D95796" w:rsidP="001179C3">
      <w:pPr>
        <w:pStyle w:val="Tijeloteksta21"/>
        <w:rPr>
          <w:rFonts w:ascii="Arial" w:hAnsi="Arial" w:cs="Arial"/>
          <w:sz w:val="22"/>
          <w:szCs w:val="22"/>
        </w:rPr>
      </w:pPr>
      <w:r>
        <w:rPr>
          <w:rFonts w:ascii="Arial" w:hAnsi="Arial" w:cs="Arial"/>
          <w:sz w:val="22"/>
          <w:szCs w:val="22"/>
        </w:rPr>
        <w:t>Članak 15</w:t>
      </w:r>
      <w:r w:rsidR="001179C3" w:rsidRPr="009B6B9C">
        <w:rPr>
          <w:rFonts w:ascii="Arial" w:hAnsi="Arial" w:cs="Arial"/>
          <w:sz w:val="22"/>
          <w:szCs w:val="22"/>
        </w:rPr>
        <w:t>.</w:t>
      </w:r>
    </w:p>
    <w:p w:rsidR="001179C3" w:rsidRPr="009B6B9C" w:rsidRDefault="001179C3"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Iznimno od prethodnog stavka ovog članka rješenje o komunalnom doprinosu za skladište i građevinu namijenjenu proizvodnji donosi se po pravomoćnosti uporabne dozvole, odnosno nakon što se je građevina te namjene počela koristiti ako se koristi bez uporabne dozvole.</w:t>
      </w:r>
    </w:p>
    <w:p w:rsidR="001179C3" w:rsidRPr="009B6B9C" w:rsidRDefault="001179C3" w:rsidP="001179C3">
      <w:pPr>
        <w:pStyle w:val="Tijeloteksta21"/>
        <w:jc w:val="both"/>
        <w:rPr>
          <w:rFonts w:ascii="Arial" w:hAnsi="Arial" w:cs="Arial"/>
          <w:b w:val="0"/>
          <w:sz w:val="22"/>
          <w:szCs w:val="22"/>
        </w:rPr>
      </w:pPr>
    </w:p>
    <w:p w:rsidR="001179C3"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Uporabna dozvola za skladište ili građevinu namijenjenu proizvodnji dostavl</w:t>
      </w:r>
      <w:r w:rsidR="000D1C10">
        <w:rPr>
          <w:rFonts w:ascii="Arial" w:hAnsi="Arial" w:cs="Arial"/>
          <w:b w:val="0"/>
          <w:sz w:val="22"/>
          <w:szCs w:val="22"/>
        </w:rPr>
        <w:t>ja se na znanje Općini Petrijanec</w:t>
      </w:r>
      <w:r w:rsidRPr="009B6B9C">
        <w:rPr>
          <w:rFonts w:ascii="Arial" w:hAnsi="Arial" w:cs="Arial"/>
          <w:b w:val="0"/>
          <w:sz w:val="22"/>
          <w:szCs w:val="22"/>
        </w:rPr>
        <w:t xml:space="preserve"> kao području na kojem se nalazi skladište odnosno građevina.</w:t>
      </w:r>
    </w:p>
    <w:p w:rsidR="00573F39" w:rsidRPr="009B6B9C" w:rsidRDefault="00573F39" w:rsidP="00DB3695">
      <w:pPr>
        <w:pStyle w:val="Tijeloteksta21"/>
        <w:ind w:firstLine="708"/>
        <w:jc w:val="both"/>
        <w:rPr>
          <w:rFonts w:ascii="Arial" w:hAnsi="Arial" w:cs="Arial"/>
          <w:b w:val="0"/>
          <w:sz w:val="22"/>
          <w:szCs w:val="22"/>
        </w:rPr>
      </w:pPr>
    </w:p>
    <w:p w:rsidR="00B01C97" w:rsidRPr="009B6B9C" w:rsidRDefault="00B01C97" w:rsidP="00573F39">
      <w:pPr>
        <w:pStyle w:val="Tijeloteksta21"/>
        <w:jc w:val="both"/>
        <w:rPr>
          <w:rFonts w:ascii="Arial" w:hAnsi="Arial" w:cs="Arial"/>
          <w:b w:val="0"/>
          <w:sz w:val="22"/>
          <w:szCs w:val="22"/>
        </w:rPr>
      </w:pPr>
    </w:p>
    <w:p w:rsidR="001179C3" w:rsidRDefault="001179C3" w:rsidP="001179C3">
      <w:pPr>
        <w:pStyle w:val="Tijeloteksta21"/>
        <w:jc w:val="left"/>
        <w:rPr>
          <w:rFonts w:ascii="Arial" w:hAnsi="Arial" w:cs="Arial"/>
          <w:sz w:val="22"/>
          <w:szCs w:val="22"/>
        </w:rPr>
      </w:pPr>
      <w:r w:rsidRPr="009B6B9C">
        <w:rPr>
          <w:rFonts w:ascii="Arial" w:hAnsi="Arial" w:cs="Arial"/>
          <w:sz w:val="22"/>
          <w:szCs w:val="22"/>
        </w:rPr>
        <w:t>Izmjena ovršnog odnosno pravomoćnog rješenja o komunalnom doprinosu</w:t>
      </w:r>
    </w:p>
    <w:p w:rsidR="00573F39" w:rsidRDefault="00573F39" w:rsidP="001179C3">
      <w:pPr>
        <w:pStyle w:val="Tijeloteksta21"/>
        <w:jc w:val="left"/>
        <w:rPr>
          <w:rFonts w:ascii="Arial" w:hAnsi="Arial" w:cs="Arial"/>
          <w:sz w:val="22"/>
          <w:szCs w:val="22"/>
        </w:rPr>
      </w:pPr>
    </w:p>
    <w:p w:rsidR="001179C3" w:rsidRPr="009B6B9C" w:rsidRDefault="001179C3" w:rsidP="001179C3">
      <w:pPr>
        <w:pStyle w:val="Tijeloteksta21"/>
        <w:jc w:val="both"/>
        <w:rPr>
          <w:rFonts w:ascii="Arial" w:hAnsi="Arial" w:cs="Arial"/>
          <w:b w:val="0"/>
          <w:sz w:val="22"/>
          <w:szCs w:val="22"/>
        </w:rPr>
      </w:pPr>
    </w:p>
    <w:p w:rsidR="001179C3" w:rsidRDefault="001179C3" w:rsidP="001179C3">
      <w:pPr>
        <w:pStyle w:val="Tijeloteksta21"/>
        <w:jc w:val="left"/>
        <w:rPr>
          <w:rFonts w:ascii="Arial" w:hAnsi="Arial" w:cs="Arial"/>
          <w:sz w:val="22"/>
          <w:szCs w:val="22"/>
        </w:rPr>
      </w:pPr>
      <w:r w:rsidRPr="009B6B9C">
        <w:rPr>
          <w:rFonts w:ascii="Arial" w:hAnsi="Arial" w:cs="Arial"/>
          <w:sz w:val="22"/>
          <w:szCs w:val="22"/>
        </w:rPr>
        <w:t xml:space="preserve">                                              </w:t>
      </w:r>
      <w:r w:rsidR="00D95796">
        <w:rPr>
          <w:rFonts w:ascii="Arial" w:hAnsi="Arial" w:cs="Arial"/>
          <w:sz w:val="22"/>
          <w:szCs w:val="22"/>
        </w:rPr>
        <w:t xml:space="preserve">                       Članak 16</w:t>
      </w:r>
      <w:r w:rsidRPr="009B6B9C">
        <w:rPr>
          <w:rFonts w:ascii="Arial" w:hAnsi="Arial" w:cs="Arial"/>
          <w:sz w:val="22"/>
          <w:szCs w:val="22"/>
        </w:rPr>
        <w:t xml:space="preserve">. </w:t>
      </w:r>
    </w:p>
    <w:p w:rsidR="00DB3695" w:rsidRPr="009B6B9C" w:rsidRDefault="00DB3695" w:rsidP="001179C3">
      <w:pPr>
        <w:pStyle w:val="Tijeloteksta21"/>
        <w:jc w:val="left"/>
        <w:rPr>
          <w:rFonts w:ascii="Arial" w:hAnsi="Arial" w:cs="Arial"/>
          <w:sz w:val="22"/>
          <w:szCs w:val="22"/>
        </w:rPr>
      </w:pPr>
    </w:p>
    <w:p w:rsidR="001179C3" w:rsidRDefault="001179C3" w:rsidP="00B01C97">
      <w:pPr>
        <w:pStyle w:val="Tijeloteksta21"/>
        <w:ind w:firstLine="708"/>
        <w:jc w:val="both"/>
        <w:rPr>
          <w:rFonts w:ascii="Arial" w:hAnsi="Arial" w:cs="Arial"/>
          <w:b w:val="0"/>
          <w:sz w:val="22"/>
          <w:szCs w:val="22"/>
        </w:rPr>
      </w:pPr>
      <w:r w:rsidRPr="009B6B9C">
        <w:rPr>
          <w:rFonts w:ascii="Arial" w:hAnsi="Arial" w:cs="Arial"/>
          <w:b w:val="0"/>
          <w:sz w:val="22"/>
          <w:szCs w:val="22"/>
        </w:rPr>
        <w:t>Ako je izmijenjena građevinska dozvola, drugi akt za građenje ili glavni projekt, na način koji utječe na obračun komunalnog doprinosa, Jedinstveni upravni odjel po službenoj dužnosti ili po zahtjevu obveznika komunalnog doprinosa ili investitora izmijeniti će ovršno, odnosno pravomoćno rješenje o komunalnom doprinosu.</w:t>
      </w:r>
    </w:p>
    <w:p w:rsidR="00573F39" w:rsidRPr="009B6B9C" w:rsidRDefault="00573F39" w:rsidP="00B01C97">
      <w:pPr>
        <w:pStyle w:val="Tijeloteksta21"/>
        <w:ind w:firstLine="708"/>
        <w:jc w:val="both"/>
        <w:rPr>
          <w:rFonts w:ascii="Arial" w:hAnsi="Arial" w:cs="Arial"/>
          <w:b w:val="0"/>
          <w:sz w:val="22"/>
          <w:szCs w:val="22"/>
        </w:rPr>
      </w:pPr>
    </w:p>
    <w:p w:rsidR="001179C3" w:rsidRDefault="001179C3" w:rsidP="00573F39">
      <w:pPr>
        <w:pStyle w:val="Tijeloteksta21"/>
        <w:ind w:firstLine="708"/>
        <w:jc w:val="both"/>
        <w:rPr>
          <w:rFonts w:ascii="Arial" w:hAnsi="Arial" w:cs="Arial"/>
          <w:b w:val="0"/>
          <w:sz w:val="22"/>
          <w:szCs w:val="22"/>
        </w:rPr>
      </w:pPr>
      <w:r w:rsidRPr="009B6B9C">
        <w:rPr>
          <w:rFonts w:ascii="Arial" w:hAnsi="Arial" w:cs="Arial"/>
          <w:b w:val="0"/>
          <w:sz w:val="22"/>
          <w:szCs w:val="22"/>
        </w:rPr>
        <w:lastRenderedPageBreak/>
        <w:t>Rješenjem o izmjeni rješenja o komunalnom doprinosu iz prethodnog stavka ovog članka, obračunati će se komunalni doprinos prema izmjeni te odrediti plaćanje ili povrat razlike komunalnog doprinosa, u skladu s Odlukom o komunalnom doprinosu po kojoj je rješenje o komunalnom doprinosu doneseno.</w:t>
      </w:r>
    </w:p>
    <w:p w:rsidR="00573F39" w:rsidRPr="009B6B9C" w:rsidRDefault="00573F39" w:rsidP="00573F39">
      <w:pPr>
        <w:pStyle w:val="Tijeloteksta21"/>
        <w:ind w:firstLine="708"/>
        <w:jc w:val="both"/>
        <w:rPr>
          <w:rFonts w:ascii="Arial" w:hAnsi="Arial" w:cs="Arial"/>
          <w:b w:val="0"/>
          <w:sz w:val="22"/>
          <w:szCs w:val="22"/>
        </w:rPr>
      </w:pPr>
    </w:p>
    <w:p w:rsidR="008160A0" w:rsidRPr="009B6B9C" w:rsidRDefault="001179C3" w:rsidP="00F816E8">
      <w:pPr>
        <w:pStyle w:val="Tijeloteksta21"/>
        <w:ind w:firstLine="708"/>
        <w:jc w:val="both"/>
        <w:rPr>
          <w:rFonts w:ascii="Arial" w:hAnsi="Arial" w:cs="Arial"/>
          <w:b w:val="0"/>
          <w:sz w:val="22"/>
          <w:szCs w:val="22"/>
        </w:rPr>
      </w:pPr>
      <w:r w:rsidRPr="009B6B9C">
        <w:rPr>
          <w:rFonts w:ascii="Arial" w:hAnsi="Arial" w:cs="Arial"/>
          <w:b w:val="0"/>
          <w:sz w:val="22"/>
          <w:szCs w:val="22"/>
        </w:rPr>
        <w:t>Kod povrata iz prethodnog stavka ovog članka, obveznik, odnosno investitor nemaju pravo na kamatu od dana uplate komunalnog doprinosa do dana određenog za povrat.</w:t>
      </w:r>
    </w:p>
    <w:p w:rsidR="00F816E8" w:rsidRPr="009B6B9C" w:rsidRDefault="00F816E8" w:rsidP="001179C3">
      <w:pPr>
        <w:pStyle w:val="Tijeloteksta21"/>
        <w:jc w:val="both"/>
        <w:rPr>
          <w:rFonts w:ascii="Arial" w:hAnsi="Arial" w:cs="Arial"/>
          <w:b w:val="0"/>
          <w:sz w:val="22"/>
          <w:szCs w:val="22"/>
        </w:rPr>
      </w:pPr>
    </w:p>
    <w:p w:rsidR="001179C3" w:rsidRPr="009B6B9C" w:rsidRDefault="001179C3" w:rsidP="001179C3">
      <w:pPr>
        <w:pStyle w:val="Tijeloteksta21"/>
        <w:jc w:val="both"/>
        <w:rPr>
          <w:rFonts w:ascii="Arial" w:hAnsi="Arial" w:cs="Arial"/>
          <w:sz w:val="22"/>
          <w:szCs w:val="22"/>
        </w:rPr>
      </w:pPr>
      <w:r w:rsidRPr="009B6B9C">
        <w:rPr>
          <w:rFonts w:ascii="Arial" w:hAnsi="Arial" w:cs="Arial"/>
          <w:sz w:val="22"/>
          <w:szCs w:val="22"/>
        </w:rPr>
        <w:t>Poništenje ovršnog odnosno pravomoćnog rješenja o komunalnom doprinosu</w:t>
      </w:r>
    </w:p>
    <w:p w:rsidR="001179C3" w:rsidRPr="009B6B9C" w:rsidRDefault="001179C3" w:rsidP="001179C3">
      <w:pPr>
        <w:pStyle w:val="Tijeloteksta21"/>
        <w:jc w:val="both"/>
        <w:rPr>
          <w:rFonts w:ascii="Arial" w:hAnsi="Arial" w:cs="Arial"/>
          <w:sz w:val="22"/>
          <w:szCs w:val="22"/>
        </w:rPr>
      </w:pPr>
    </w:p>
    <w:p w:rsidR="001179C3" w:rsidRPr="009B6B9C" w:rsidRDefault="00D95796" w:rsidP="001179C3">
      <w:pPr>
        <w:pStyle w:val="Tijeloteksta21"/>
        <w:rPr>
          <w:rFonts w:ascii="Arial" w:hAnsi="Arial" w:cs="Arial"/>
          <w:sz w:val="22"/>
          <w:szCs w:val="22"/>
        </w:rPr>
      </w:pPr>
      <w:r>
        <w:rPr>
          <w:rFonts w:ascii="Arial" w:hAnsi="Arial" w:cs="Arial"/>
          <w:sz w:val="22"/>
          <w:szCs w:val="22"/>
        </w:rPr>
        <w:t>Članak 17</w:t>
      </w:r>
      <w:r w:rsidR="001179C3" w:rsidRPr="009B6B9C">
        <w:rPr>
          <w:rFonts w:ascii="Arial" w:hAnsi="Arial" w:cs="Arial"/>
          <w:sz w:val="22"/>
          <w:szCs w:val="22"/>
        </w:rPr>
        <w:t>.</w:t>
      </w:r>
    </w:p>
    <w:p w:rsidR="001179C3" w:rsidRPr="009B6B9C" w:rsidRDefault="001179C3" w:rsidP="001179C3">
      <w:pPr>
        <w:pStyle w:val="Tijeloteksta21"/>
        <w:rPr>
          <w:rFonts w:ascii="Arial" w:hAnsi="Arial" w:cs="Arial"/>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Jedinstven</w:t>
      </w:r>
      <w:r w:rsidR="00FE413F">
        <w:rPr>
          <w:rFonts w:ascii="Arial" w:hAnsi="Arial" w:cs="Arial"/>
          <w:b w:val="0"/>
          <w:sz w:val="22"/>
          <w:szCs w:val="22"/>
        </w:rPr>
        <w:t>i upravni odjel Općine Petrijanec</w:t>
      </w:r>
      <w:r w:rsidRPr="009B6B9C">
        <w:rPr>
          <w:rFonts w:ascii="Arial" w:hAnsi="Arial" w:cs="Arial"/>
          <w:b w:val="0"/>
          <w:sz w:val="22"/>
          <w:szCs w:val="22"/>
        </w:rPr>
        <w:t xml:space="preserve"> poništiti će po zahtjevu obveznika komunalnog doprinosa ili investitora ovršno, odnosno pravomoćno rješenje o komunalnom doprinosu ako je građevinska dozvola, odnosno drugi akt za građenje oglašen ništavim ili je poništen bez zahtjev</w:t>
      </w:r>
      <w:r w:rsidR="00FE413F">
        <w:rPr>
          <w:rFonts w:ascii="Arial" w:hAnsi="Arial" w:cs="Arial"/>
          <w:b w:val="0"/>
          <w:sz w:val="22"/>
          <w:szCs w:val="22"/>
        </w:rPr>
        <w:t>a</w:t>
      </w:r>
      <w:r w:rsidRPr="009B6B9C">
        <w:rPr>
          <w:rFonts w:ascii="Arial" w:hAnsi="Arial" w:cs="Arial"/>
          <w:b w:val="0"/>
          <w:sz w:val="22"/>
          <w:szCs w:val="22"/>
        </w:rPr>
        <w:t xml:space="preserve"> ili suglasnosti investitora.</w:t>
      </w:r>
    </w:p>
    <w:p w:rsidR="001179C3" w:rsidRPr="009B6B9C" w:rsidRDefault="001179C3" w:rsidP="001179C3">
      <w:pPr>
        <w:pStyle w:val="Tijeloteksta21"/>
        <w:jc w:val="both"/>
        <w:rPr>
          <w:rFonts w:ascii="Arial" w:hAnsi="Arial" w:cs="Arial"/>
          <w:b w:val="0"/>
          <w:sz w:val="22"/>
          <w:szCs w:val="22"/>
        </w:rPr>
      </w:pP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Rješenjem o poništenju rješenja o komunalnom doprinosu iz prethodnog stavka ovog članka, odrediti će se i povrat komunalnog doprinosa u</w:t>
      </w:r>
      <w:r w:rsidR="004E3793">
        <w:rPr>
          <w:rFonts w:ascii="Arial" w:hAnsi="Arial" w:cs="Arial"/>
          <w:b w:val="0"/>
          <w:sz w:val="22"/>
          <w:szCs w:val="22"/>
        </w:rPr>
        <w:t xml:space="preserve"> roku koji ne može biti dulji od</w:t>
      </w:r>
      <w:r w:rsidRPr="009B6B9C">
        <w:rPr>
          <w:rFonts w:ascii="Arial" w:hAnsi="Arial" w:cs="Arial"/>
          <w:b w:val="0"/>
          <w:sz w:val="22"/>
          <w:szCs w:val="22"/>
        </w:rPr>
        <w:t xml:space="preserve"> dvije godine od dana izvršnosti rješenja o komunalnom doprinosu.</w:t>
      </w:r>
    </w:p>
    <w:p w:rsidR="001179C3" w:rsidRPr="009B6B9C" w:rsidRDefault="001179C3" w:rsidP="001179C3">
      <w:pPr>
        <w:pStyle w:val="Tijeloteksta21"/>
        <w:jc w:val="both"/>
        <w:rPr>
          <w:rFonts w:ascii="Arial" w:hAnsi="Arial" w:cs="Arial"/>
          <w:b w:val="0"/>
          <w:sz w:val="22"/>
          <w:szCs w:val="22"/>
        </w:rPr>
      </w:pPr>
    </w:p>
    <w:p w:rsidR="001179C3" w:rsidRDefault="001179C3" w:rsidP="00FE413F">
      <w:pPr>
        <w:pStyle w:val="Tijeloteksta21"/>
        <w:ind w:firstLine="708"/>
        <w:jc w:val="both"/>
        <w:rPr>
          <w:rFonts w:ascii="Arial" w:hAnsi="Arial" w:cs="Arial"/>
          <w:b w:val="0"/>
          <w:sz w:val="22"/>
          <w:szCs w:val="22"/>
        </w:rPr>
      </w:pPr>
      <w:r w:rsidRPr="009B6B9C">
        <w:rPr>
          <w:rFonts w:ascii="Arial" w:hAnsi="Arial" w:cs="Arial"/>
          <w:b w:val="0"/>
          <w:sz w:val="22"/>
          <w:szCs w:val="22"/>
        </w:rPr>
        <w:t>U slučaju povrata komunalnog doprinosa iz prethodnog stavka ovog članka, obveznik, odnosno investitor nemaju pravo na kamatu od dana uplate do dana određenog za povrat.</w:t>
      </w:r>
    </w:p>
    <w:p w:rsidR="00F816E8" w:rsidRPr="009B6B9C" w:rsidRDefault="00F816E8" w:rsidP="00FE413F">
      <w:pPr>
        <w:pStyle w:val="Tijeloteksta21"/>
        <w:ind w:firstLine="708"/>
        <w:jc w:val="both"/>
        <w:rPr>
          <w:rFonts w:ascii="Arial" w:hAnsi="Arial" w:cs="Arial"/>
          <w:b w:val="0"/>
          <w:sz w:val="22"/>
          <w:szCs w:val="22"/>
        </w:rPr>
      </w:pPr>
    </w:p>
    <w:p w:rsidR="001179C3" w:rsidRPr="009B6B9C" w:rsidRDefault="001179C3" w:rsidP="001179C3">
      <w:pPr>
        <w:pStyle w:val="Tijeloteksta21"/>
        <w:jc w:val="both"/>
        <w:rPr>
          <w:rFonts w:ascii="Arial" w:hAnsi="Arial" w:cs="Arial"/>
          <w:sz w:val="22"/>
          <w:szCs w:val="22"/>
        </w:rPr>
      </w:pPr>
      <w:r w:rsidRPr="009B6B9C">
        <w:rPr>
          <w:rFonts w:ascii="Arial" w:hAnsi="Arial" w:cs="Arial"/>
          <w:sz w:val="22"/>
          <w:szCs w:val="22"/>
        </w:rPr>
        <w:t>Uračunavanje kao plaćenog, dijela komunalnog doprinosa</w:t>
      </w:r>
    </w:p>
    <w:p w:rsidR="001179C3" w:rsidRPr="009B6B9C" w:rsidRDefault="001179C3" w:rsidP="001179C3">
      <w:pPr>
        <w:pStyle w:val="Tijeloteksta21"/>
        <w:jc w:val="both"/>
        <w:rPr>
          <w:rFonts w:ascii="Arial" w:hAnsi="Arial" w:cs="Arial"/>
          <w:sz w:val="22"/>
          <w:szCs w:val="22"/>
        </w:rPr>
      </w:pPr>
    </w:p>
    <w:p w:rsidR="001179C3" w:rsidRPr="009B6B9C" w:rsidRDefault="00D95796" w:rsidP="001179C3">
      <w:pPr>
        <w:pStyle w:val="Tijeloteksta21"/>
        <w:rPr>
          <w:rFonts w:ascii="Arial" w:hAnsi="Arial" w:cs="Arial"/>
          <w:sz w:val="22"/>
          <w:szCs w:val="22"/>
        </w:rPr>
      </w:pPr>
      <w:r>
        <w:rPr>
          <w:rFonts w:ascii="Arial" w:hAnsi="Arial" w:cs="Arial"/>
          <w:sz w:val="22"/>
          <w:szCs w:val="22"/>
        </w:rPr>
        <w:t>Članak 18</w:t>
      </w:r>
      <w:r w:rsidR="001179C3" w:rsidRPr="009B6B9C">
        <w:rPr>
          <w:rFonts w:ascii="Arial" w:hAnsi="Arial" w:cs="Arial"/>
          <w:sz w:val="22"/>
          <w:szCs w:val="22"/>
        </w:rPr>
        <w:t>.</w:t>
      </w:r>
    </w:p>
    <w:p w:rsidR="001179C3" w:rsidRPr="009B6B9C" w:rsidRDefault="001179C3" w:rsidP="001179C3">
      <w:pPr>
        <w:pStyle w:val="Tijeloteksta21"/>
        <w:jc w:val="left"/>
        <w:rPr>
          <w:rFonts w:ascii="Arial" w:hAnsi="Arial" w:cs="Arial"/>
          <w:sz w:val="22"/>
          <w:szCs w:val="22"/>
        </w:rPr>
      </w:pPr>
      <w:r w:rsidRPr="009B6B9C">
        <w:rPr>
          <w:rFonts w:ascii="Arial" w:hAnsi="Arial" w:cs="Arial"/>
          <w:sz w:val="22"/>
          <w:szCs w:val="22"/>
        </w:rPr>
        <w:t xml:space="preserve">                                                            </w:t>
      </w:r>
    </w:p>
    <w:p w:rsidR="001179C3" w:rsidRPr="009B6B9C" w:rsidRDefault="001179C3" w:rsidP="00DB3695">
      <w:pPr>
        <w:pStyle w:val="Tijeloteksta21"/>
        <w:ind w:firstLine="708"/>
        <w:jc w:val="both"/>
        <w:rPr>
          <w:rFonts w:ascii="Arial" w:hAnsi="Arial" w:cs="Arial"/>
          <w:b w:val="0"/>
          <w:sz w:val="22"/>
          <w:szCs w:val="22"/>
        </w:rPr>
      </w:pPr>
      <w:r w:rsidRPr="009B6B9C">
        <w:rPr>
          <w:rFonts w:ascii="Arial" w:hAnsi="Arial" w:cs="Arial"/>
          <w:b w:val="0"/>
          <w:sz w:val="22"/>
          <w:szCs w:val="22"/>
        </w:rPr>
        <w:t>Iznos komunalnog doprinosa koji je plaćen za građenje građevine na temelju građevinske dozvole, odnosno drugog akta za građenje koji je prestao važiti jer građenje nije započeto ili koji je poništen na zahtjev ili uz suglasnost investitora, Jedinstven</w:t>
      </w:r>
      <w:r w:rsidR="00FE413F">
        <w:rPr>
          <w:rFonts w:ascii="Arial" w:hAnsi="Arial" w:cs="Arial"/>
          <w:b w:val="0"/>
          <w:sz w:val="22"/>
          <w:szCs w:val="22"/>
        </w:rPr>
        <w:t>i upravni odjel Općine Petrijanec</w:t>
      </w:r>
      <w:r w:rsidRPr="009B6B9C">
        <w:rPr>
          <w:rFonts w:ascii="Arial" w:hAnsi="Arial" w:cs="Arial"/>
          <w:b w:val="0"/>
          <w:sz w:val="22"/>
          <w:szCs w:val="22"/>
        </w:rPr>
        <w:t xml:space="preserve"> uračunati će kao plaćeni dio komunalnog doprinos</w:t>
      </w:r>
      <w:r w:rsidR="00FE413F">
        <w:rPr>
          <w:rFonts w:ascii="Arial" w:hAnsi="Arial" w:cs="Arial"/>
          <w:b w:val="0"/>
          <w:sz w:val="22"/>
          <w:szCs w:val="22"/>
        </w:rPr>
        <w:t>a</w:t>
      </w:r>
      <w:r w:rsidRPr="009B6B9C">
        <w:rPr>
          <w:rFonts w:ascii="Arial" w:hAnsi="Arial" w:cs="Arial"/>
          <w:b w:val="0"/>
          <w:sz w:val="22"/>
          <w:szCs w:val="22"/>
        </w:rPr>
        <w:t xml:space="preserve"> koji se plaća za građenje na  istom ili drugom zemlji</w:t>
      </w:r>
      <w:r w:rsidR="00FE413F">
        <w:rPr>
          <w:rFonts w:ascii="Arial" w:hAnsi="Arial" w:cs="Arial"/>
          <w:b w:val="0"/>
          <w:sz w:val="22"/>
          <w:szCs w:val="22"/>
        </w:rPr>
        <w:t>štu na području Općine Petrijanec</w:t>
      </w:r>
      <w:r w:rsidRPr="009B6B9C">
        <w:rPr>
          <w:rFonts w:ascii="Arial" w:hAnsi="Arial" w:cs="Arial"/>
          <w:b w:val="0"/>
          <w:sz w:val="22"/>
          <w:szCs w:val="22"/>
        </w:rPr>
        <w:t xml:space="preserve">, ako to zatraži obveznik komunalnog doprinosa ili investitor. </w:t>
      </w:r>
    </w:p>
    <w:p w:rsidR="001179C3" w:rsidRPr="009B6B9C" w:rsidRDefault="001179C3" w:rsidP="001179C3">
      <w:pPr>
        <w:pStyle w:val="Tijeloteksta21"/>
        <w:jc w:val="both"/>
        <w:rPr>
          <w:rFonts w:ascii="Arial" w:hAnsi="Arial" w:cs="Arial"/>
          <w:b w:val="0"/>
          <w:sz w:val="22"/>
          <w:szCs w:val="22"/>
        </w:rPr>
      </w:pPr>
    </w:p>
    <w:p w:rsidR="00573F39" w:rsidRDefault="001179C3" w:rsidP="00573F39">
      <w:pPr>
        <w:pStyle w:val="Tijeloteksta21"/>
        <w:ind w:firstLine="360"/>
        <w:jc w:val="both"/>
        <w:rPr>
          <w:rFonts w:ascii="Arial" w:hAnsi="Arial" w:cs="Arial"/>
          <w:b w:val="0"/>
          <w:sz w:val="22"/>
          <w:szCs w:val="22"/>
        </w:rPr>
      </w:pPr>
      <w:r w:rsidRPr="009B6B9C">
        <w:rPr>
          <w:rFonts w:ascii="Arial" w:hAnsi="Arial" w:cs="Arial"/>
          <w:b w:val="0"/>
          <w:sz w:val="22"/>
          <w:szCs w:val="22"/>
        </w:rPr>
        <w:t>Obveznik komunalnog doprinosa, odnosno investitor nema pravo na kamatu za uplaćeni iznos, niti na kamatu za iznos koji se uračunava kao plaćeni dio komunalnog doprinosa koji se plaća za građenje na istom ili drugom zemljištu.</w:t>
      </w:r>
    </w:p>
    <w:p w:rsidR="001179C3" w:rsidRPr="009B6B9C" w:rsidRDefault="001179C3" w:rsidP="001179C3">
      <w:pPr>
        <w:pStyle w:val="Tijeloteksta21"/>
        <w:jc w:val="both"/>
        <w:rPr>
          <w:rFonts w:ascii="Arial" w:hAnsi="Arial" w:cs="Arial"/>
          <w:b w:val="0"/>
          <w:sz w:val="22"/>
          <w:szCs w:val="22"/>
        </w:rPr>
      </w:pPr>
    </w:p>
    <w:p w:rsidR="001179C3" w:rsidRDefault="00A25AB9" w:rsidP="001179C3">
      <w:pPr>
        <w:pStyle w:val="Tijeloteksta21"/>
        <w:numPr>
          <w:ilvl w:val="0"/>
          <w:numId w:val="1"/>
        </w:numPr>
        <w:jc w:val="both"/>
        <w:rPr>
          <w:rFonts w:ascii="Arial" w:hAnsi="Arial" w:cs="Arial"/>
          <w:sz w:val="22"/>
          <w:szCs w:val="22"/>
        </w:rPr>
      </w:pPr>
      <w:r>
        <w:rPr>
          <w:rFonts w:ascii="Arial" w:hAnsi="Arial" w:cs="Arial"/>
          <w:sz w:val="22"/>
          <w:szCs w:val="22"/>
        </w:rPr>
        <w:t>PRIJELAZNE I ZAVRŠNE</w:t>
      </w:r>
      <w:r w:rsidR="001179C3" w:rsidRPr="009B6B9C">
        <w:rPr>
          <w:rFonts w:ascii="Arial" w:hAnsi="Arial" w:cs="Arial"/>
          <w:sz w:val="22"/>
          <w:szCs w:val="22"/>
        </w:rPr>
        <w:t xml:space="preserve"> ODREDBE</w:t>
      </w:r>
    </w:p>
    <w:p w:rsidR="001179C3" w:rsidRPr="009B6B9C" w:rsidRDefault="001179C3" w:rsidP="001179C3">
      <w:pPr>
        <w:pStyle w:val="Tijeloteksta21"/>
        <w:jc w:val="left"/>
        <w:rPr>
          <w:rFonts w:ascii="Arial" w:hAnsi="Arial" w:cs="Arial"/>
          <w:b w:val="0"/>
          <w:sz w:val="22"/>
          <w:szCs w:val="22"/>
        </w:rPr>
      </w:pPr>
    </w:p>
    <w:p w:rsidR="001179C3" w:rsidRPr="009B6B9C" w:rsidRDefault="00D95796" w:rsidP="001179C3">
      <w:pPr>
        <w:pStyle w:val="Tijeloteksta21"/>
        <w:rPr>
          <w:rFonts w:ascii="Arial" w:hAnsi="Arial" w:cs="Arial"/>
          <w:sz w:val="22"/>
          <w:szCs w:val="22"/>
        </w:rPr>
      </w:pPr>
      <w:r>
        <w:rPr>
          <w:rFonts w:ascii="Arial" w:hAnsi="Arial" w:cs="Arial"/>
          <w:sz w:val="22"/>
          <w:szCs w:val="22"/>
        </w:rPr>
        <w:t>Članak 19</w:t>
      </w:r>
      <w:r w:rsidR="001179C3" w:rsidRPr="009B6B9C">
        <w:rPr>
          <w:rFonts w:ascii="Arial" w:hAnsi="Arial" w:cs="Arial"/>
          <w:sz w:val="22"/>
          <w:szCs w:val="22"/>
        </w:rPr>
        <w:t>.</w:t>
      </w:r>
    </w:p>
    <w:p w:rsidR="001179C3" w:rsidRPr="009B6B9C" w:rsidRDefault="001179C3" w:rsidP="001179C3">
      <w:pPr>
        <w:pStyle w:val="Tijeloteksta21"/>
        <w:rPr>
          <w:rFonts w:ascii="Arial" w:hAnsi="Arial" w:cs="Arial"/>
          <w:sz w:val="22"/>
          <w:szCs w:val="22"/>
        </w:rPr>
      </w:pPr>
    </w:p>
    <w:p w:rsidR="001179C3" w:rsidRPr="009B6B9C" w:rsidRDefault="001179C3" w:rsidP="00E41CF2">
      <w:pPr>
        <w:pStyle w:val="Tijeloteksta21"/>
        <w:ind w:firstLine="708"/>
        <w:jc w:val="both"/>
        <w:rPr>
          <w:rFonts w:ascii="Arial" w:hAnsi="Arial" w:cs="Arial"/>
          <w:b w:val="0"/>
          <w:sz w:val="22"/>
          <w:szCs w:val="22"/>
        </w:rPr>
      </w:pPr>
      <w:r w:rsidRPr="009B6B9C">
        <w:rPr>
          <w:rFonts w:ascii="Arial" w:hAnsi="Arial" w:cs="Arial"/>
          <w:b w:val="0"/>
          <w:sz w:val="22"/>
          <w:szCs w:val="22"/>
        </w:rPr>
        <w:t>Stupanjem na snagu ove Odluke prestaje važiti Odluka o komun</w:t>
      </w:r>
      <w:r w:rsidR="00FE413F">
        <w:rPr>
          <w:rFonts w:ascii="Arial" w:hAnsi="Arial" w:cs="Arial"/>
          <w:b w:val="0"/>
          <w:sz w:val="22"/>
          <w:szCs w:val="22"/>
        </w:rPr>
        <w:t>alnom doprinosu (»</w:t>
      </w:r>
      <w:r w:rsidRPr="009B6B9C">
        <w:rPr>
          <w:rFonts w:ascii="Arial" w:hAnsi="Arial" w:cs="Arial"/>
          <w:b w:val="0"/>
          <w:sz w:val="22"/>
          <w:szCs w:val="22"/>
        </w:rPr>
        <w:t>Službe</w:t>
      </w:r>
      <w:r w:rsidR="00FE413F">
        <w:rPr>
          <w:rFonts w:ascii="Arial" w:hAnsi="Arial" w:cs="Arial"/>
          <w:b w:val="0"/>
          <w:sz w:val="22"/>
          <w:szCs w:val="22"/>
        </w:rPr>
        <w:t>ni vjesnik Varaždinske županije«</w:t>
      </w:r>
      <w:r w:rsidR="00930E71">
        <w:rPr>
          <w:rFonts w:ascii="Arial" w:hAnsi="Arial" w:cs="Arial"/>
          <w:b w:val="0"/>
          <w:sz w:val="22"/>
          <w:szCs w:val="22"/>
        </w:rPr>
        <w:t>,</w:t>
      </w:r>
      <w:r w:rsidR="00FE413F">
        <w:rPr>
          <w:rFonts w:ascii="Arial" w:hAnsi="Arial" w:cs="Arial"/>
          <w:b w:val="0"/>
          <w:sz w:val="22"/>
          <w:szCs w:val="22"/>
        </w:rPr>
        <w:t xml:space="preserve"> broj 4/13 i 9/15</w:t>
      </w:r>
      <w:r w:rsidRPr="009B6B9C">
        <w:rPr>
          <w:rFonts w:ascii="Arial" w:hAnsi="Arial" w:cs="Arial"/>
          <w:b w:val="0"/>
          <w:sz w:val="22"/>
          <w:szCs w:val="22"/>
        </w:rPr>
        <w:t>).</w:t>
      </w:r>
    </w:p>
    <w:p w:rsidR="001179C3" w:rsidRPr="009B6B9C" w:rsidRDefault="001179C3" w:rsidP="001179C3">
      <w:pPr>
        <w:pStyle w:val="Tijeloteksta21"/>
        <w:jc w:val="both"/>
        <w:rPr>
          <w:rFonts w:ascii="Arial" w:hAnsi="Arial" w:cs="Arial"/>
          <w:b w:val="0"/>
          <w:sz w:val="22"/>
          <w:szCs w:val="22"/>
        </w:rPr>
      </w:pPr>
    </w:p>
    <w:p w:rsidR="001179C3" w:rsidRDefault="00D95796" w:rsidP="001179C3">
      <w:pPr>
        <w:pStyle w:val="Tijeloteksta21"/>
        <w:rPr>
          <w:rFonts w:ascii="Arial" w:hAnsi="Arial" w:cs="Arial"/>
          <w:sz w:val="22"/>
          <w:szCs w:val="22"/>
        </w:rPr>
      </w:pPr>
      <w:r>
        <w:rPr>
          <w:rFonts w:ascii="Arial" w:hAnsi="Arial" w:cs="Arial"/>
          <w:sz w:val="22"/>
          <w:szCs w:val="22"/>
        </w:rPr>
        <w:t>Članak 20</w:t>
      </w:r>
      <w:r w:rsidR="001179C3" w:rsidRPr="009B6B9C">
        <w:rPr>
          <w:rFonts w:ascii="Arial" w:hAnsi="Arial" w:cs="Arial"/>
          <w:sz w:val="22"/>
          <w:szCs w:val="22"/>
        </w:rPr>
        <w:t>.</w:t>
      </w:r>
    </w:p>
    <w:p w:rsidR="00DB3695" w:rsidRPr="009B6B9C" w:rsidRDefault="00DB3695" w:rsidP="001179C3">
      <w:pPr>
        <w:pStyle w:val="Tijeloteksta21"/>
        <w:rPr>
          <w:rFonts w:ascii="Arial" w:hAnsi="Arial" w:cs="Arial"/>
          <w:sz w:val="22"/>
          <w:szCs w:val="22"/>
        </w:rPr>
      </w:pPr>
    </w:p>
    <w:p w:rsidR="00D95796" w:rsidRDefault="001179C3" w:rsidP="00B01C97">
      <w:pPr>
        <w:pStyle w:val="Tijeloteksta21"/>
        <w:ind w:firstLine="708"/>
        <w:jc w:val="both"/>
        <w:rPr>
          <w:rFonts w:ascii="Arial" w:hAnsi="Arial" w:cs="Arial"/>
          <w:b w:val="0"/>
          <w:sz w:val="22"/>
          <w:szCs w:val="22"/>
        </w:rPr>
      </w:pPr>
      <w:r w:rsidRPr="009B6B9C">
        <w:rPr>
          <w:rFonts w:ascii="Arial" w:hAnsi="Arial" w:cs="Arial"/>
          <w:b w:val="0"/>
          <w:sz w:val="22"/>
          <w:szCs w:val="22"/>
        </w:rPr>
        <w:t>Ova Odluka stupa na sna</w:t>
      </w:r>
      <w:r w:rsidR="00FE413F">
        <w:rPr>
          <w:rFonts w:ascii="Arial" w:hAnsi="Arial" w:cs="Arial"/>
          <w:b w:val="0"/>
          <w:sz w:val="22"/>
          <w:szCs w:val="22"/>
        </w:rPr>
        <w:t>gu osmog dana od dana objave u »</w:t>
      </w:r>
      <w:r w:rsidRPr="009B6B9C">
        <w:rPr>
          <w:rFonts w:ascii="Arial" w:hAnsi="Arial" w:cs="Arial"/>
          <w:b w:val="0"/>
          <w:sz w:val="22"/>
          <w:szCs w:val="22"/>
        </w:rPr>
        <w:t>Službenom vjes</w:t>
      </w:r>
      <w:r w:rsidR="00FE413F">
        <w:rPr>
          <w:rFonts w:ascii="Arial" w:hAnsi="Arial" w:cs="Arial"/>
          <w:b w:val="0"/>
          <w:sz w:val="22"/>
          <w:szCs w:val="22"/>
        </w:rPr>
        <w:t>niku Varaždinske županije«.</w:t>
      </w:r>
    </w:p>
    <w:p w:rsidR="00E41CF2" w:rsidRDefault="00E41CF2" w:rsidP="00E41CF2">
      <w:pPr>
        <w:pStyle w:val="Tijeloteksta21"/>
        <w:ind w:firstLine="708"/>
        <w:jc w:val="both"/>
        <w:rPr>
          <w:rFonts w:ascii="Arial" w:hAnsi="Arial" w:cs="Arial"/>
          <w:b w:val="0"/>
          <w:sz w:val="22"/>
          <w:szCs w:val="22"/>
        </w:rPr>
      </w:pPr>
    </w:p>
    <w:p w:rsidR="00B01C97" w:rsidRPr="00E41CF2" w:rsidRDefault="00B01C97" w:rsidP="00E41CF2">
      <w:pPr>
        <w:pStyle w:val="Tijeloteksta21"/>
        <w:ind w:firstLine="708"/>
        <w:jc w:val="both"/>
        <w:rPr>
          <w:rFonts w:ascii="Arial" w:hAnsi="Arial" w:cs="Arial"/>
          <w:b w:val="0"/>
          <w:sz w:val="22"/>
          <w:szCs w:val="22"/>
        </w:rPr>
      </w:pPr>
    </w:p>
    <w:p w:rsidR="00DB3695" w:rsidRDefault="002B6AC9" w:rsidP="00DB3695">
      <w:pPr>
        <w:tabs>
          <w:tab w:val="left" w:pos="6024"/>
        </w:tabs>
        <w:rPr>
          <w:rFonts w:ascii="Arial" w:hAnsi="Arial" w:cs="Arial"/>
          <w:sz w:val="22"/>
          <w:szCs w:val="22"/>
        </w:rPr>
      </w:pPr>
      <w:r>
        <w:rPr>
          <w:rFonts w:ascii="Arial" w:hAnsi="Arial" w:cs="Arial"/>
          <w:sz w:val="22"/>
          <w:szCs w:val="22"/>
        </w:rPr>
        <w:t xml:space="preserve">                                                                                            Potp</w:t>
      </w:r>
      <w:r w:rsidR="00DB3695">
        <w:rPr>
          <w:rFonts w:ascii="Arial" w:hAnsi="Arial" w:cs="Arial"/>
          <w:sz w:val="22"/>
          <w:szCs w:val="22"/>
        </w:rPr>
        <w:t>redsjednik Općinskog vijeća</w:t>
      </w:r>
    </w:p>
    <w:p w:rsidR="00647380" w:rsidRPr="00DB3695" w:rsidRDefault="002B6AC9" w:rsidP="00DB3695">
      <w:pPr>
        <w:tabs>
          <w:tab w:val="left" w:pos="6024"/>
        </w:tabs>
        <w:rPr>
          <w:rFonts w:ascii="Arial" w:hAnsi="Arial" w:cs="Arial"/>
          <w:sz w:val="22"/>
          <w:szCs w:val="22"/>
        </w:rPr>
      </w:pPr>
      <w:r>
        <w:rPr>
          <w:rFonts w:ascii="Arial" w:hAnsi="Arial" w:cs="Arial"/>
          <w:sz w:val="22"/>
          <w:szCs w:val="22"/>
        </w:rPr>
        <w:tab/>
        <w:t xml:space="preserve">     Roman Strelec, v. r.</w:t>
      </w:r>
      <w:bookmarkStart w:id="0" w:name="_GoBack"/>
      <w:bookmarkEnd w:id="0"/>
    </w:p>
    <w:sectPr w:rsidR="00647380" w:rsidRPr="00DB3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194"/>
    <w:multiLevelType w:val="hybridMultilevel"/>
    <w:tmpl w:val="3A7E5EC8"/>
    <w:lvl w:ilvl="0" w:tplc="C6C2A7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A75128"/>
    <w:multiLevelType w:val="hybridMultilevel"/>
    <w:tmpl w:val="2BEC61B8"/>
    <w:lvl w:ilvl="0" w:tplc="BAF4D00E">
      <w:start w:val="1"/>
      <w:numFmt w:val="upperRoman"/>
      <w:lvlText w:val="%1."/>
      <w:lvlJc w:val="left"/>
      <w:pPr>
        <w:ind w:left="1428" w:hanging="720"/>
      </w:pPr>
      <w:rPr>
        <w:rFonts w:eastAsia="Times New Roman"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C353615"/>
    <w:multiLevelType w:val="hybridMultilevel"/>
    <w:tmpl w:val="BF326C82"/>
    <w:lvl w:ilvl="0" w:tplc="9236B96A">
      <w:start w:val="1"/>
      <w:numFmt w:val="bullet"/>
      <w:lvlText w:val="-"/>
      <w:lvlJc w:val="left"/>
      <w:pPr>
        <w:ind w:left="1788" w:hanging="360"/>
      </w:pPr>
      <w:rPr>
        <w:rFonts w:ascii="Arial" w:eastAsia="Calibri" w:hAnsi="Arial" w:cs="Aria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C3"/>
    <w:rsid w:val="000774ED"/>
    <w:rsid w:val="000D1C10"/>
    <w:rsid w:val="000E044F"/>
    <w:rsid w:val="001179C3"/>
    <w:rsid w:val="001A7846"/>
    <w:rsid w:val="001F6637"/>
    <w:rsid w:val="002071FC"/>
    <w:rsid w:val="00256D91"/>
    <w:rsid w:val="002B0511"/>
    <w:rsid w:val="002B608D"/>
    <w:rsid w:val="002B6AC9"/>
    <w:rsid w:val="00362176"/>
    <w:rsid w:val="0037785B"/>
    <w:rsid w:val="00396497"/>
    <w:rsid w:val="003B3675"/>
    <w:rsid w:val="00452915"/>
    <w:rsid w:val="00456BE1"/>
    <w:rsid w:val="0049667D"/>
    <w:rsid w:val="004A719D"/>
    <w:rsid w:val="004E3793"/>
    <w:rsid w:val="004F126B"/>
    <w:rsid w:val="004F5AD6"/>
    <w:rsid w:val="00573F39"/>
    <w:rsid w:val="005D6840"/>
    <w:rsid w:val="00647380"/>
    <w:rsid w:val="007D447F"/>
    <w:rsid w:val="00810BA3"/>
    <w:rsid w:val="008160A0"/>
    <w:rsid w:val="008B3F3D"/>
    <w:rsid w:val="008B7D00"/>
    <w:rsid w:val="00930E71"/>
    <w:rsid w:val="009B6B9C"/>
    <w:rsid w:val="009E467E"/>
    <w:rsid w:val="009E7387"/>
    <w:rsid w:val="00A25AB9"/>
    <w:rsid w:val="00A46A7C"/>
    <w:rsid w:val="00A64667"/>
    <w:rsid w:val="00B01C97"/>
    <w:rsid w:val="00B656E7"/>
    <w:rsid w:val="00C225D9"/>
    <w:rsid w:val="00C239AC"/>
    <w:rsid w:val="00CC5C81"/>
    <w:rsid w:val="00D94246"/>
    <w:rsid w:val="00D95796"/>
    <w:rsid w:val="00DB3695"/>
    <w:rsid w:val="00E41CF2"/>
    <w:rsid w:val="00E9138F"/>
    <w:rsid w:val="00F816E8"/>
    <w:rsid w:val="00FC5750"/>
    <w:rsid w:val="00FE41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C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179C3"/>
    <w:pPr>
      <w:keepNext/>
      <w:outlineLvl w:val="1"/>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179C3"/>
    <w:rPr>
      <w:rFonts w:ascii="Times New Roman" w:eastAsia="Times New Roman" w:hAnsi="Times New Roman" w:cs="Times New Roman"/>
      <w:i/>
      <w:iCs/>
      <w:sz w:val="24"/>
      <w:szCs w:val="24"/>
      <w:lang w:eastAsia="hr-HR"/>
    </w:rPr>
  </w:style>
  <w:style w:type="paragraph" w:customStyle="1" w:styleId="Tijeloteksta21">
    <w:name w:val="Tijelo teksta 21"/>
    <w:basedOn w:val="Normal"/>
    <w:rsid w:val="001179C3"/>
    <w:pPr>
      <w:overflowPunct w:val="0"/>
      <w:autoSpaceDE w:val="0"/>
      <w:autoSpaceDN w:val="0"/>
      <w:adjustRightInd w:val="0"/>
      <w:jc w:val="center"/>
      <w:textAlignment w:val="baseline"/>
    </w:pPr>
    <w:rPr>
      <w:b/>
      <w:szCs w:val="20"/>
    </w:rPr>
  </w:style>
  <w:style w:type="table" w:styleId="Reetkatablice">
    <w:name w:val="Table Grid"/>
    <w:basedOn w:val="Obinatablica"/>
    <w:uiPriority w:val="39"/>
    <w:rsid w:val="00CC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F1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C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179C3"/>
    <w:pPr>
      <w:keepNext/>
      <w:outlineLvl w:val="1"/>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179C3"/>
    <w:rPr>
      <w:rFonts w:ascii="Times New Roman" w:eastAsia="Times New Roman" w:hAnsi="Times New Roman" w:cs="Times New Roman"/>
      <w:i/>
      <w:iCs/>
      <w:sz w:val="24"/>
      <w:szCs w:val="24"/>
      <w:lang w:eastAsia="hr-HR"/>
    </w:rPr>
  </w:style>
  <w:style w:type="paragraph" w:customStyle="1" w:styleId="Tijeloteksta21">
    <w:name w:val="Tijelo teksta 21"/>
    <w:basedOn w:val="Normal"/>
    <w:rsid w:val="001179C3"/>
    <w:pPr>
      <w:overflowPunct w:val="0"/>
      <w:autoSpaceDE w:val="0"/>
      <w:autoSpaceDN w:val="0"/>
      <w:adjustRightInd w:val="0"/>
      <w:jc w:val="center"/>
      <w:textAlignment w:val="baseline"/>
    </w:pPr>
    <w:rPr>
      <w:b/>
      <w:szCs w:val="20"/>
    </w:rPr>
  </w:style>
  <w:style w:type="table" w:styleId="Reetkatablice">
    <w:name w:val="Table Grid"/>
    <w:basedOn w:val="Obinatablica"/>
    <w:uiPriority w:val="39"/>
    <w:rsid w:val="00CC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F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2063</Words>
  <Characters>11760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60</cp:revision>
  <cp:lastPrinted>2019-01-30T12:58:00Z</cp:lastPrinted>
  <dcterms:created xsi:type="dcterms:W3CDTF">2019-01-26T09:17:00Z</dcterms:created>
  <dcterms:modified xsi:type="dcterms:W3CDTF">2019-02-01T12:53:00Z</dcterms:modified>
</cp:coreProperties>
</file>